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5954"/>
        <w:gridCol w:w="3685"/>
      </w:tblGrid>
      <w:tr w:rsidR="002C3C0D" w:rsidRPr="004D1CF5" w14:paraId="3182F7BF" w14:textId="77777777" w:rsidTr="00184CF0">
        <w:trPr>
          <w:jc w:val="center"/>
        </w:trPr>
        <w:tc>
          <w:tcPr>
            <w:tcW w:w="5954" w:type="dxa"/>
            <w:shd w:val="clear" w:color="auto" w:fill="2E74B5" w:themeFill="accent5" w:themeFillShade="BF"/>
            <w:vAlign w:val="center"/>
          </w:tcPr>
          <w:p w14:paraId="079B58A2" w14:textId="77777777" w:rsidR="002C3C0D" w:rsidRPr="003B0B7F" w:rsidRDefault="002C3C0D" w:rsidP="00184CF0">
            <w:pPr>
              <w:rPr>
                <w:rFonts w:ascii="Arial Rounded MT Bold" w:hAnsi="Arial Rounded MT Bold" w:cstheme="minorHAnsi"/>
                <w:color w:val="FFFFFF" w:themeColor="background1"/>
                <w:sz w:val="20"/>
                <w:szCs w:val="20"/>
              </w:rPr>
            </w:pPr>
            <w:r w:rsidRPr="003B0B7F">
              <w:rPr>
                <w:rFonts w:ascii="Arial Rounded MT Bold" w:hAnsi="Arial Rounded MT Bold" w:cstheme="minorHAnsi"/>
                <w:color w:val="FFFFFF" w:themeColor="background1"/>
                <w:sz w:val="48"/>
                <w:szCs w:val="48"/>
              </w:rPr>
              <w:t>S</w:t>
            </w:r>
            <w:r w:rsidRPr="003B0B7F">
              <w:rPr>
                <w:rFonts w:ascii="Calibri" w:hAnsi="Calibri" w:cs="Calibri"/>
                <w:color w:val="FFFFFF" w:themeColor="background1"/>
                <w:sz w:val="48"/>
                <w:szCs w:val="48"/>
              </w:rPr>
              <w:t>İ</w:t>
            </w:r>
            <w:r w:rsidRPr="003B0B7F">
              <w:rPr>
                <w:rFonts w:ascii="Arial Rounded MT Bold" w:hAnsi="Arial Rounded MT Bold" w:cstheme="minorHAnsi"/>
                <w:color w:val="FFFFFF" w:themeColor="background1"/>
                <w:sz w:val="48"/>
                <w:szCs w:val="48"/>
              </w:rPr>
              <w:t>RK</w:t>
            </w:r>
            <w:r w:rsidRPr="003B0B7F">
              <w:rPr>
                <w:rFonts w:ascii="Arial Rounded MT Bold" w:hAnsi="Arial Rounded MT Bold" w:cs="Arial Rounded MT Bold"/>
                <w:color w:val="FFFFFF" w:themeColor="background1"/>
                <w:sz w:val="48"/>
                <w:szCs w:val="48"/>
              </w:rPr>
              <w:t>Ü</w:t>
            </w:r>
            <w:r w:rsidRPr="003B0B7F">
              <w:rPr>
                <w:rFonts w:ascii="Arial Rounded MT Bold" w:hAnsi="Arial Rounded MT Bold" w:cstheme="minorHAnsi"/>
                <w:color w:val="FFFFFF" w:themeColor="background1"/>
                <w:sz w:val="48"/>
                <w:szCs w:val="48"/>
              </w:rPr>
              <w:t>LER – VERG</w:t>
            </w:r>
            <w:r w:rsidRPr="003B0B7F">
              <w:rPr>
                <w:rFonts w:ascii="Calibri" w:hAnsi="Calibri" w:cs="Calibri"/>
                <w:color w:val="FFFFFF" w:themeColor="background1"/>
                <w:sz w:val="48"/>
                <w:szCs w:val="48"/>
              </w:rPr>
              <w:t>İ</w:t>
            </w:r>
          </w:p>
        </w:tc>
        <w:tc>
          <w:tcPr>
            <w:tcW w:w="3685" w:type="dxa"/>
            <w:shd w:val="clear" w:color="auto" w:fill="2E74B5" w:themeFill="accent5" w:themeFillShade="BF"/>
          </w:tcPr>
          <w:p w14:paraId="6DA3E98F" w14:textId="77777777" w:rsidR="002C3C0D" w:rsidRDefault="002C3C0D" w:rsidP="00184CF0">
            <w:pPr>
              <w:pBdr>
                <w:top w:val="single" w:sz="4" w:space="1" w:color="auto"/>
              </w:pBdr>
              <w:ind w:hanging="110"/>
              <w:jc w:val="center"/>
              <w:rPr>
                <w:rFonts w:ascii="Abadi" w:hAnsi="Abadi"/>
                <w:b/>
                <w:bCs/>
                <w:color w:val="FFFFFF" w:themeColor="background1"/>
              </w:rPr>
            </w:pPr>
          </w:p>
          <w:p w14:paraId="44440152" w14:textId="77777777" w:rsidR="002C3C0D" w:rsidRPr="003B0B7F" w:rsidRDefault="002C3C0D" w:rsidP="00184CF0">
            <w:pPr>
              <w:pBdr>
                <w:top w:val="single" w:sz="4" w:space="1" w:color="auto"/>
              </w:pBdr>
              <w:ind w:hanging="110"/>
              <w:jc w:val="center"/>
              <w:rPr>
                <w:rFonts w:ascii="Abadi" w:hAnsi="Abadi"/>
                <w:b/>
                <w:bCs/>
                <w:color w:val="FFFFFF" w:themeColor="background1"/>
              </w:rPr>
            </w:pPr>
            <w:r w:rsidRPr="003B0B7F">
              <w:rPr>
                <w:rFonts w:ascii="Abadi" w:hAnsi="Abadi"/>
                <w:b/>
                <w:bCs/>
                <w:color w:val="FFFFFF" w:themeColor="background1"/>
              </w:rPr>
              <w:t>PLAT</w:t>
            </w:r>
            <w:r w:rsidRPr="003B0B7F">
              <w:rPr>
                <w:rFonts w:ascii="Calibri" w:hAnsi="Calibri" w:cs="Calibri"/>
                <w:b/>
                <w:bCs/>
                <w:color w:val="FFFFFF" w:themeColor="background1"/>
              </w:rPr>
              <w:t>İ</w:t>
            </w:r>
            <w:r w:rsidRPr="003B0B7F">
              <w:rPr>
                <w:rFonts w:ascii="Abadi" w:hAnsi="Abadi"/>
                <w:b/>
                <w:bCs/>
                <w:color w:val="FFFFFF" w:themeColor="background1"/>
              </w:rPr>
              <w:t>N YEM</w:t>
            </w:r>
            <w:r w:rsidRPr="003B0B7F">
              <w:rPr>
                <w:rFonts w:ascii="Calibri" w:hAnsi="Calibri" w:cs="Calibri"/>
                <w:b/>
                <w:bCs/>
                <w:color w:val="FFFFFF" w:themeColor="background1"/>
              </w:rPr>
              <w:t>İ</w:t>
            </w:r>
            <w:r w:rsidRPr="003B0B7F">
              <w:rPr>
                <w:rFonts w:ascii="Abadi" w:hAnsi="Abadi"/>
                <w:b/>
                <w:bCs/>
                <w:color w:val="FFFFFF" w:themeColor="background1"/>
              </w:rPr>
              <w:t>NL</w:t>
            </w:r>
            <w:r w:rsidRPr="003B0B7F">
              <w:rPr>
                <w:rFonts w:ascii="Calibri" w:hAnsi="Calibri" w:cs="Calibri"/>
                <w:b/>
                <w:bCs/>
                <w:color w:val="FFFFFF" w:themeColor="background1"/>
              </w:rPr>
              <w:t>İ</w:t>
            </w:r>
            <w:r w:rsidRPr="003B0B7F">
              <w:rPr>
                <w:rFonts w:ascii="Abadi" w:hAnsi="Abadi"/>
                <w:b/>
                <w:bCs/>
                <w:color w:val="FFFFFF" w:themeColor="background1"/>
              </w:rPr>
              <w:t xml:space="preserve"> MAL</w:t>
            </w:r>
            <w:r w:rsidRPr="003B0B7F">
              <w:rPr>
                <w:rFonts w:ascii="Calibri" w:hAnsi="Calibri" w:cs="Calibri"/>
                <w:b/>
                <w:bCs/>
                <w:color w:val="FFFFFF" w:themeColor="background1"/>
              </w:rPr>
              <w:t>İ</w:t>
            </w:r>
            <w:r w:rsidRPr="003B0B7F">
              <w:rPr>
                <w:rFonts w:ascii="Abadi" w:hAnsi="Abadi"/>
                <w:b/>
                <w:bCs/>
                <w:color w:val="FFFFFF" w:themeColor="background1"/>
              </w:rPr>
              <w:t xml:space="preserve"> M</w:t>
            </w:r>
            <w:r w:rsidRPr="003B0B7F">
              <w:rPr>
                <w:rFonts w:ascii="Abadi" w:hAnsi="Abadi" w:cs="Abadi"/>
                <w:b/>
                <w:bCs/>
                <w:color w:val="FFFFFF" w:themeColor="background1"/>
              </w:rPr>
              <w:t>Ü</w:t>
            </w:r>
            <w:r w:rsidRPr="003B0B7F">
              <w:rPr>
                <w:rFonts w:ascii="Calibri" w:hAnsi="Calibri" w:cs="Calibri"/>
                <w:b/>
                <w:bCs/>
                <w:color w:val="FFFFFF" w:themeColor="background1"/>
              </w:rPr>
              <w:t>Ş</w:t>
            </w:r>
            <w:r w:rsidRPr="003B0B7F">
              <w:rPr>
                <w:rFonts w:ascii="Abadi" w:hAnsi="Abadi"/>
                <w:b/>
                <w:bCs/>
                <w:color w:val="FFFFFF" w:themeColor="background1"/>
              </w:rPr>
              <w:t>AV</w:t>
            </w:r>
            <w:r w:rsidRPr="003B0B7F">
              <w:rPr>
                <w:rFonts w:ascii="Calibri" w:hAnsi="Calibri" w:cs="Calibri"/>
                <w:b/>
                <w:bCs/>
                <w:color w:val="FFFFFF" w:themeColor="background1"/>
              </w:rPr>
              <w:t>İ</w:t>
            </w:r>
            <w:r w:rsidRPr="003B0B7F">
              <w:rPr>
                <w:rFonts w:ascii="Abadi" w:hAnsi="Abadi"/>
                <w:b/>
                <w:bCs/>
                <w:color w:val="FFFFFF" w:themeColor="background1"/>
              </w:rPr>
              <w:t>RL</w:t>
            </w:r>
            <w:r w:rsidRPr="003B0B7F">
              <w:rPr>
                <w:rFonts w:ascii="Calibri" w:hAnsi="Calibri" w:cs="Calibri"/>
                <w:b/>
                <w:bCs/>
                <w:color w:val="FFFFFF" w:themeColor="background1"/>
              </w:rPr>
              <w:t>İ</w:t>
            </w:r>
            <w:r w:rsidRPr="003B0B7F">
              <w:rPr>
                <w:rFonts w:ascii="Abadi" w:hAnsi="Abadi"/>
                <w:b/>
                <w:bCs/>
                <w:color w:val="FFFFFF" w:themeColor="background1"/>
              </w:rPr>
              <w:t>K VE DENET</w:t>
            </w:r>
            <w:r w:rsidRPr="003B0B7F">
              <w:rPr>
                <w:rFonts w:ascii="Calibri" w:hAnsi="Calibri" w:cs="Calibri"/>
                <w:b/>
                <w:bCs/>
                <w:color w:val="FFFFFF" w:themeColor="background1"/>
              </w:rPr>
              <w:t>İ</w:t>
            </w:r>
            <w:r w:rsidRPr="003B0B7F">
              <w:rPr>
                <w:rFonts w:ascii="Abadi" w:hAnsi="Abadi"/>
                <w:b/>
                <w:bCs/>
                <w:color w:val="FFFFFF" w:themeColor="background1"/>
              </w:rPr>
              <w:t>M H</w:t>
            </w:r>
            <w:r w:rsidRPr="003B0B7F">
              <w:rPr>
                <w:rFonts w:ascii="Calibri" w:hAnsi="Calibri" w:cs="Calibri"/>
                <w:b/>
                <w:bCs/>
                <w:color w:val="FFFFFF" w:themeColor="background1"/>
              </w:rPr>
              <w:t>İ</w:t>
            </w:r>
            <w:r w:rsidRPr="003B0B7F">
              <w:rPr>
                <w:rFonts w:ascii="Abadi" w:hAnsi="Abadi"/>
                <w:b/>
                <w:bCs/>
                <w:color w:val="FFFFFF" w:themeColor="background1"/>
              </w:rPr>
              <w:t>ZMETLER</w:t>
            </w:r>
            <w:r w:rsidRPr="003B0B7F">
              <w:rPr>
                <w:rFonts w:ascii="Calibri" w:hAnsi="Calibri" w:cs="Calibri"/>
                <w:b/>
                <w:bCs/>
                <w:color w:val="FFFFFF" w:themeColor="background1"/>
              </w:rPr>
              <w:t>İ</w:t>
            </w:r>
          </w:p>
          <w:p w14:paraId="7FF36FB1" w14:textId="77777777" w:rsidR="002C3C0D" w:rsidRPr="003B0B7F" w:rsidRDefault="002C3C0D" w:rsidP="00184CF0">
            <w:pPr>
              <w:pBdr>
                <w:top w:val="single" w:sz="4" w:space="1" w:color="auto"/>
              </w:pBdr>
              <w:ind w:hanging="110"/>
              <w:jc w:val="center"/>
              <w:rPr>
                <w:rFonts w:asciiTheme="majorHAnsi" w:hAnsiTheme="majorHAnsi" w:cstheme="majorHAnsi"/>
                <w:color w:val="FFFFFF" w:themeColor="background1"/>
                <w:sz w:val="20"/>
                <w:szCs w:val="20"/>
              </w:rPr>
            </w:pPr>
            <w:r w:rsidRPr="003B0B7F">
              <w:rPr>
                <w:rFonts w:asciiTheme="majorHAnsi" w:hAnsiTheme="majorHAnsi" w:cstheme="majorHAnsi"/>
                <w:color w:val="FFFFFF" w:themeColor="background1"/>
                <w:sz w:val="20"/>
                <w:szCs w:val="20"/>
              </w:rPr>
              <w:t xml:space="preserve">Atatürk </w:t>
            </w:r>
            <w:proofErr w:type="spellStart"/>
            <w:r w:rsidRPr="003B0B7F">
              <w:rPr>
                <w:rFonts w:asciiTheme="majorHAnsi" w:hAnsiTheme="majorHAnsi" w:cstheme="majorHAnsi"/>
                <w:color w:val="FFFFFF" w:themeColor="background1"/>
                <w:sz w:val="20"/>
                <w:szCs w:val="20"/>
              </w:rPr>
              <w:t>Mh</w:t>
            </w:r>
            <w:proofErr w:type="spellEnd"/>
            <w:r w:rsidRPr="003B0B7F">
              <w:rPr>
                <w:rFonts w:asciiTheme="majorHAnsi" w:hAnsiTheme="majorHAnsi" w:cstheme="majorHAnsi"/>
                <w:color w:val="FFFFFF" w:themeColor="background1"/>
                <w:sz w:val="20"/>
                <w:szCs w:val="20"/>
              </w:rPr>
              <w:t xml:space="preserve">. Ataşehir Bulvarı No: 6 Ata 2/3 Plaza Daire 28 Ataşehir – İstanbul  </w:t>
            </w:r>
          </w:p>
          <w:p w14:paraId="3910CF63" w14:textId="77777777" w:rsidR="002C3C0D" w:rsidRPr="003B0B7F" w:rsidRDefault="002C3C0D" w:rsidP="00184CF0">
            <w:pPr>
              <w:pBdr>
                <w:top w:val="single" w:sz="4" w:space="1" w:color="auto"/>
              </w:pBdr>
              <w:ind w:hanging="110"/>
              <w:jc w:val="center"/>
              <w:rPr>
                <w:rFonts w:asciiTheme="majorHAnsi" w:hAnsiTheme="majorHAnsi" w:cstheme="majorHAnsi"/>
                <w:color w:val="FFFFFF" w:themeColor="background1"/>
                <w:sz w:val="20"/>
                <w:szCs w:val="20"/>
              </w:rPr>
            </w:pPr>
            <w:r w:rsidRPr="003B0B7F">
              <w:rPr>
                <w:rFonts w:asciiTheme="majorHAnsi" w:hAnsiTheme="majorHAnsi" w:cstheme="majorHAnsi"/>
                <w:color w:val="FFFFFF" w:themeColor="background1"/>
                <w:sz w:val="20"/>
                <w:szCs w:val="20"/>
              </w:rPr>
              <w:t xml:space="preserve">0216 – 456 76 30 / 0533 650 73 87 </w:t>
            </w:r>
          </w:p>
          <w:p w14:paraId="54F0ECFE" w14:textId="77777777" w:rsidR="002C3C0D" w:rsidRPr="003B0B7F" w:rsidRDefault="00000000" w:rsidP="00184CF0">
            <w:pPr>
              <w:pBdr>
                <w:top w:val="single" w:sz="4" w:space="1" w:color="auto"/>
              </w:pBdr>
              <w:ind w:hanging="110"/>
              <w:jc w:val="center"/>
              <w:rPr>
                <w:rFonts w:asciiTheme="majorHAnsi" w:hAnsiTheme="majorHAnsi" w:cstheme="majorHAnsi"/>
                <w:color w:val="FFFFFF" w:themeColor="background1"/>
                <w:sz w:val="20"/>
                <w:szCs w:val="20"/>
              </w:rPr>
            </w:pPr>
            <w:hyperlink r:id="rId7" w:history="1">
              <w:r w:rsidR="002C3C0D" w:rsidRPr="003B0B7F">
                <w:rPr>
                  <w:rStyle w:val="Kpr"/>
                  <w:rFonts w:asciiTheme="majorHAnsi" w:hAnsiTheme="majorHAnsi" w:cstheme="majorHAnsi"/>
                  <w:color w:val="FFFFFF" w:themeColor="background1"/>
                  <w:sz w:val="20"/>
                  <w:szCs w:val="20"/>
                  <w:u w:val="none"/>
                </w:rPr>
                <w:t>info@platinymm.com.tr</w:t>
              </w:r>
            </w:hyperlink>
          </w:p>
          <w:p w14:paraId="39C0B8EC" w14:textId="77777777" w:rsidR="002C3C0D" w:rsidRPr="003B0B7F" w:rsidRDefault="002C3C0D" w:rsidP="00184CF0">
            <w:pPr>
              <w:jc w:val="center"/>
              <w:rPr>
                <w:rFonts w:ascii="Abadi" w:hAnsi="Abadi"/>
                <w:color w:val="FFFFFF" w:themeColor="background1"/>
                <w:sz w:val="24"/>
                <w:szCs w:val="24"/>
              </w:rPr>
            </w:pPr>
          </w:p>
        </w:tc>
      </w:tr>
    </w:tbl>
    <w:p w14:paraId="1DF54A19" w14:textId="77777777" w:rsidR="0088208C" w:rsidRDefault="0088208C" w:rsidP="0088208C">
      <w:pPr>
        <w:pStyle w:val="GvdeMetni"/>
      </w:pPr>
    </w:p>
    <w:tbl>
      <w:tblPr>
        <w:tblStyle w:val="TabloKlavuzu"/>
        <w:tblW w:w="96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03"/>
        <w:gridCol w:w="2415"/>
      </w:tblGrid>
      <w:tr w:rsidR="00C40500" w:rsidRPr="00125E91" w14:paraId="3D967F2A" w14:textId="77777777" w:rsidTr="00184CF0">
        <w:tc>
          <w:tcPr>
            <w:tcW w:w="2127" w:type="dxa"/>
          </w:tcPr>
          <w:p w14:paraId="2F894794" w14:textId="77777777" w:rsidR="00C40500" w:rsidRPr="00125E91" w:rsidRDefault="00C40500" w:rsidP="00184CF0">
            <w:pPr>
              <w:rPr>
                <w:b/>
                <w:sz w:val="24"/>
                <w:szCs w:val="24"/>
              </w:rPr>
            </w:pPr>
          </w:p>
        </w:tc>
        <w:tc>
          <w:tcPr>
            <w:tcW w:w="5103" w:type="dxa"/>
          </w:tcPr>
          <w:p w14:paraId="408BCAAA" w14:textId="77777777" w:rsidR="00C40500" w:rsidRPr="0018135D" w:rsidRDefault="00C40500" w:rsidP="00184CF0">
            <w:pPr>
              <w:rPr>
                <w:b/>
                <w:sz w:val="24"/>
                <w:szCs w:val="24"/>
              </w:rPr>
            </w:pPr>
          </w:p>
        </w:tc>
        <w:tc>
          <w:tcPr>
            <w:tcW w:w="2415" w:type="dxa"/>
          </w:tcPr>
          <w:p w14:paraId="4DEAA3B0" w14:textId="5FB44D98" w:rsidR="00C40500" w:rsidRPr="0018135D" w:rsidRDefault="00442372" w:rsidP="00184CF0">
            <w:pPr>
              <w:jc w:val="center"/>
              <w:rPr>
                <w:b/>
                <w:sz w:val="24"/>
                <w:szCs w:val="24"/>
              </w:rPr>
            </w:pPr>
            <w:r>
              <w:rPr>
                <w:b/>
                <w:sz w:val="24"/>
                <w:szCs w:val="24"/>
              </w:rPr>
              <w:t>23/02/2024</w:t>
            </w:r>
          </w:p>
        </w:tc>
      </w:tr>
      <w:tr w:rsidR="00C40500" w:rsidRPr="00125E91" w14:paraId="0C87F903" w14:textId="77777777" w:rsidTr="00184CF0">
        <w:tc>
          <w:tcPr>
            <w:tcW w:w="2127" w:type="dxa"/>
          </w:tcPr>
          <w:p w14:paraId="51993B22" w14:textId="77777777" w:rsidR="00C40500" w:rsidRPr="00125E91" w:rsidRDefault="00C40500" w:rsidP="00184CF0">
            <w:pPr>
              <w:rPr>
                <w:b/>
                <w:sz w:val="24"/>
                <w:szCs w:val="24"/>
              </w:rPr>
            </w:pPr>
          </w:p>
        </w:tc>
        <w:tc>
          <w:tcPr>
            <w:tcW w:w="5103" w:type="dxa"/>
          </w:tcPr>
          <w:p w14:paraId="7E7E6F20" w14:textId="77777777" w:rsidR="00C40500" w:rsidRPr="0018135D" w:rsidRDefault="00C40500" w:rsidP="00184CF0">
            <w:pPr>
              <w:rPr>
                <w:b/>
                <w:sz w:val="24"/>
                <w:szCs w:val="24"/>
              </w:rPr>
            </w:pPr>
          </w:p>
        </w:tc>
        <w:tc>
          <w:tcPr>
            <w:tcW w:w="2415" w:type="dxa"/>
          </w:tcPr>
          <w:p w14:paraId="537A0E6B" w14:textId="77777777" w:rsidR="00C40500" w:rsidRPr="0018135D" w:rsidRDefault="00C40500" w:rsidP="00184CF0">
            <w:pPr>
              <w:jc w:val="center"/>
              <w:rPr>
                <w:b/>
                <w:sz w:val="24"/>
                <w:szCs w:val="24"/>
              </w:rPr>
            </w:pPr>
          </w:p>
        </w:tc>
      </w:tr>
      <w:tr w:rsidR="00C40500" w:rsidRPr="00125E91" w14:paraId="625687F7" w14:textId="77777777" w:rsidTr="00184CF0">
        <w:tc>
          <w:tcPr>
            <w:tcW w:w="2127" w:type="dxa"/>
            <w:shd w:val="clear" w:color="auto" w:fill="D9D9D9" w:themeFill="background1" w:themeFillShade="D9"/>
          </w:tcPr>
          <w:p w14:paraId="5768AF45" w14:textId="77777777" w:rsidR="00C40500" w:rsidRPr="00125E91" w:rsidRDefault="00C40500" w:rsidP="00184CF0">
            <w:pPr>
              <w:rPr>
                <w:b/>
                <w:sz w:val="24"/>
                <w:szCs w:val="24"/>
              </w:rPr>
            </w:pPr>
            <w:r>
              <w:rPr>
                <w:b/>
                <w:sz w:val="24"/>
                <w:szCs w:val="24"/>
              </w:rPr>
              <w:t>SAYI</w:t>
            </w:r>
            <w:r w:rsidRPr="00125E91">
              <w:rPr>
                <w:b/>
                <w:sz w:val="24"/>
                <w:szCs w:val="24"/>
              </w:rPr>
              <w:t xml:space="preserve">             </w:t>
            </w:r>
          </w:p>
        </w:tc>
        <w:tc>
          <w:tcPr>
            <w:tcW w:w="7518" w:type="dxa"/>
            <w:gridSpan w:val="2"/>
            <w:shd w:val="clear" w:color="auto" w:fill="D9D9D9" w:themeFill="background1" w:themeFillShade="D9"/>
          </w:tcPr>
          <w:p w14:paraId="6618D955" w14:textId="79B3F08D" w:rsidR="00C40500" w:rsidRPr="0018135D" w:rsidRDefault="00C40500" w:rsidP="00184CF0">
            <w:pPr>
              <w:rPr>
                <w:b/>
                <w:sz w:val="24"/>
                <w:szCs w:val="24"/>
              </w:rPr>
            </w:pPr>
            <w:r w:rsidRPr="0018135D">
              <w:rPr>
                <w:b/>
                <w:sz w:val="24"/>
                <w:szCs w:val="24"/>
              </w:rPr>
              <w:t>2024-</w:t>
            </w:r>
            <w:r w:rsidR="00B6660C">
              <w:rPr>
                <w:b/>
                <w:sz w:val="24"/>
                <w:szCs w:val="24"/>
              </w:rPr>
              <w:t>1</w:t>
            </w:r>
            <w:r w:rsidR="00442372">
              <w:rPr>
                <w:b/>
                <w:sz w:val="24"/>
                <w:szCs w:val="24"/>
              </w:rPr>
              <w:t>8</w:t>
            </w:r>
          </w:p>
        </w:tc>
      </w:tr>
      <w:tr w:rsidR="00C40500" w:rsidRPr="00125E91" w14:paraId="0A0F32A4" w14:textId="77777777" w:rsidTr="00184CF0">
        <w:tc>
          <w:tcPr>
            <w:tcW w:w="2127" w:type="dxa"/>
            <w:shd w:val="clear" w:color="auto" w:fill="D9D9D9" w:themeFill="background1" w:themeFillShade="D9"/>
          </w:tcPr>
          <w:p w14:paraId="2CAAF2C3" w14:textId="77777777" w:rsidR="00C40500" w:rsidRPr="00125E91" w:rsidRDefault="00C40500" w:rsidP="00184CF0">
            <w:pPr>
              <w:rPr>
                <w:b/>
                <w:sz w:val="24"/>
                <w:szCs w:val="24"/>
              </w:rPr>
            </w:pPr>
          </w:p>
        </w:tc>
        <w:tc>
          <w:tcPr>
            <w:tcW w:w="7518" w:type="dxa"/>
            <w:gridSpan w:val="2"/>
            <w:shd w:val="clear" w:color="auto" w:fill="D9D9D9" w:themeFill="background1" w:themeFillShade="D9"/>
          </w:tcPr>
          <w:p w14:paraId="352FE920" w14:textId="77777777" w:rsidR="00C40500" w:rsidRPr="00125E91" w:rsidRDefault="00C40500" w:rsidP="00184CF0">
            <w:pPr>
              <w:rPr>
                <w:bCs/>
                <w:sz w:val="24"/>
                <w:szCs w:val="24"/>
              </w:rPr>
            </w:pPr>
          </w:p>
        </w:tc>
      </w:tr>
      <w:tr w:rsidR="00C40500" w:rsidRPr="00125E91" w14:paraId="55F00772" w14:textId="77777777" w:rsidTr="00184CF0">
        <w:tc>
          <w:tcPr>
            <w:tcW w:w="2127" w:type="dxa"/>
            <w:shd w:val="clear" w:color="auto" w:fill="D9D9D9" w:themeFill="background1" w:themeFillShade="D9"/>
          </w:tcPr>
          <w:p w14:paraId="04167208" w14:textId="77777777" w:rsidR="00C40500" w:rsidRPr="00125E91" w:rsidRDefault="00C40500" w:rsidP="00184CF0">
            <w:pPr>
              <w:rPr>
                <w:b/>
                <w:sz w:val="24"/>
                <w:szCs w:val="24"/>
              </w:rPr>
            </w:pPr>
            <w:r w:rsidRPr="00125E91">
              <w:rPr>
                <w:b/>
                <w:sz w:val="24"/>
                <w:szCs w:val="24"/>
              </w:rPr>
              <w:t xml:space="preserve">KONU       </w:t>
            </w:r>
          </w:p>
        </w:tc>
        <w:tc>
          <w:tcPr>
            <w:tcW w:w="7518" w:type="dxa"/>
            <w:gridSpan w:val="2"/>
            <w:shd w:val="clear" w:color="auto" w:fill="D9D9D9" w:themeFill="background1" w:themeFillShade="D9"/>
          </w:tcPr>
          <w:p w14:paraId="6C215613" w14:textId="74C36D2F" w:rsidR="00C40500" w:rsidRPr="00125E91" w:rsidRDefault="000A1DFD" w:rsidP="00184CF0">
            <w:pPr>
              <w:jc w:val="both"/>
              <w:rPr>
                <w:bCs/>
                <w:sz w:val="24"/>
                <w:szCs w:val="24"/>
              </w:rPr>
            </w:pPr>
            <w:r w:rsidRPr="000A1DFD">
              <w:rPr>
                <w:sz w:val="24"/>
                <w:szCs w:val="24"/>
              </w:rPr>
              <w:t>Enflasyon Düzeltmesi Uygulaması</w:t>
            </w:r>
          </w:p>
        </w:tc>
      </w:tr>
      <w:tr w:rsidR="00C40500" w:rsidRPr="00125E91" w14:paraId="106B20AF" w14:textId="77777777" w:rsidTr="00184CF0">
        <w:tc>
          <w:tcPr>
            <w:tcW w:w="2127" w:type="dxa"/>
            <w:shd w:val="clear" w:color="auto" w:fill="D9D9D9" w:themeFill="background1" w:themeFillShade="D9"/>
          </w:tcPr>
          <w:p w14:paraId="745A73A8" w14:textId="77777777" w:rsidR="00C40500" w:rsidRPr="00125E91" w:rsidRDefault="00C40500" w:rsidP="00184CF0">
            <w:pPr>
              <w:rPr>
                <w:b/>
                <w:sz w:val="24"/>
                <w:szCs w:val="24"/>
              </w:rPr>
            </w:pPr>
            <w:r w:rsidRPr="00125E91">
              <w:rPr>
                <w:b/>
                <w:sz w:val="24"/>
                <w:szCs w:val="24"/>
              </w:rPr>
              <w:t>DAYANAK</w:t>
            </w:r>
          </w:p>
        </w:tc>
        <w:tc>
          <w:tcPr>
            <w:tcW w:w="7518" w:type="dxa"/>
            <w:gridSpan w:val="2"/>
            <w:shd w:val="clear" w:color="auto" w:fill="D9D9D9" w:themeFill="background1" w:themeFillShade="D9"/>
          </w:tcPr>
          <w:p w14:paraId="1BB56A24" w14:textId="77777777" w:rsidR="004D5D33" w:rsidRPr="004D5D33" w:rsidRDefault="004D5D33" w:rsidP="004D5D33">
            <w:pPr>
              <w:jc w:val="both"/>
              <w:rPr>
                <w:sz w:val="24"/>
                <w:szCs w:val="24"/>
              </w:rPr>
            </w:pPr>
            <w:r w:rsidRPr="004D5D33">
              <w:rPr>
                <w:sz w:val="24"/>
                <w:szCs w:val="24"/>
              </w:rPr>
              <w:t xml:space="preserve">13 Sayılı Vergi Usul Kanunu Mükerrer Madde 298, Geçici </w:t>
            </w:r>
          </w:p>
          <w:p w14:paraId="4D13ECAA" w14:textId="19B5B2FC" w:rsidR="00C40500" w:rsidRPr="00125E91" w:rsidRDefault="004D5D33" w:rsidP="004D5D33">
            <w:pPr>
              <w:jc w:val="both"/>
              <w:rPr>
                <w:bCs/>
                <w:sz w:val="24"/>
                <w:szCs w:val="24"/>
              </w:rPr>
            </w:pPr>
            <w:r w:rsidRPr="004D5D33">
              <w:rPr>
                <w:sz w:val="24"/>
                <w:szCs w:val="24"/>
              </w:rPr>
              <w:t>Madde 33</w:t>
            </w:r>
            <w:r w:rsidR="00735161">
              <w:rPr>
                <w:sz w:val="24"/>
                <w:szCs w:val="24"/>
              </w:rPr>
              <w:t>.</w:t>
            </w:r>
          </w:p>
        </w:tc>
      </w:tr>
      <w:tr w:rsidR="00C40500" w:rsidRPr="00125E91" w14:paraId="19E5499D" w14:textId="77777777" w:rsidTr="00184CF0">
        <w:tc>
          <w:tcPr>
            <w:tcW w:w="2127" w:type="dxa"/>
            <w:shd w:val="clear" w:color="auto" w:fill="D9D9D9" w:themeFill="background1" w:themeFillShade="D9"/>
          </w:tcPr>
          <w:p w14:paraId="78D194C4" w14:textId="77777777" w:rsidR="00C40500" w:rsidRDefault="00C40500" w:rsidP="00184CF0">
            <w:pPr>
              <w:rPr>
                <w:b/>
                <w:sz w:val="24"/>
                <w:szCs w:val="24"/>
              </w:rPr>
            </w:pPr>
          </w:p>
          <w:p w14:paraId="1B451014" w14:textId="77777777" w:rsidR="00C40500" w:rsidRPr="00125E91" w:rsidRDefault="00C40500" w:rsidP="00184CF0">
            <w:pPr>
              <w:rPr>
                <w:b/>
                <w:sz w:val="24"/>
                <w:szCs w:val="24"/>
              </w:rPr>
            </w:pPr>
            <w:r>
              <w:rPr>
                <w:b/>
                <w:sz w:val="24"/>
                <w:szCs w:val="24"/>
              </w:rPr>
              <w:t>ÖZET</w:t>
            </w:r>
          </w:p>
        </w:tc>
        <w:tc>
          <w:tcPr>
            <w:tcW w:w="7518" w:type="dxa"/>
            <w:gridSpan w:val="2"/>
            <w:shd w:val="clear" w:color="auto" w:fill="D9D9D9" w:themeFill="background1" w:themeFillShade="D9"/>
          </w:tcPr>
          <w:p w14:paraId="19A1E92E" w14:textId="77777777" w:rsidR="004D5D33" w:rsidRPr="004D5D33" w:rsidRDefault="004D5D33" w:rsidP="004D5D33">
            <w:pPr>
              <w:rPr>
                <w:bCs/>
                <w:sz w:val="24"/>
                <w:szCs w:val="24"/>
              </w:rPr>
            </w:pPr>
            <w:r w:rsidRPr="004D5D33">
              <w:rPr>
                <w:bCs/>
                <w:sz w:val="24"/>
                <w:szCs w:val="24"/>
              </w:rPr>
              <w:t>165 No.lu Vergi Usul Kanunu Sirküleri ile enflasyon düzeltmesi işlemlerinde kullanılacak ortalama ticari kredi faiz oranları belirlenmiş ve uygulamaya yönelik bazı hususlara ilişkin açıklamalar yapılmıştır.</w:t>
            </w:r>
          </w:p>
          <w:p w14:paraId="43867FE5" w14:textId="68F85356" w:rsidR="008C362D" w:rsidRPr="00125E91" w:rsidRDefault="008C362D" w:rsidP="00184CF0">
            <w:pPr>
              <w:jc w:val="both"/>
              <w:rPr>
                <w:bCs/>
                <w:sz w:val="24"/>
                <w:szCs w:val="24"/>
              </w:rPr>
            </w:pPr>
          </w:p>
        </w:tc>
      </w:tr>
    </w:tbl>
    <w:p w14:paraId="35405248" w14:textId="77777777" w:rsidR="0088208C" w:rsidRDefault="0088208C" w:rsidP="0088208C">
      <w:pPr>
        <w:rPr>
          <w:sz w:val="24"/>
          <w:szCs w:val="24"/>
        </w:rPr>
      </w:pPr>
    </w:p>
    <w:p w14:paraId="2EB6E2D4" w14:textId="77777777" w:rsidR="005124AE" w:rsidRDefault="005124AE" w:rsidP="005124AE">
      <w:pPr>
        <w:rPr>
          <w:sz w:val="24"/>
          <w:szCs w:val="24"/>
          <w:lang w:eastAsia="tr-TR"/>
        </w:rPr>
      </w:pPr>
    </w:p>
    <w:p w14:paraId="27E131DA" w14:textId="77777777" w:rsidR="006C143B" w:rsidRDefault="006C143B" w:rsidP="00B26CB2">
      <w:pPr>
        <w:jc w:val="both"/>
        <w:rPr>
          <w:sz w:val="24"/>
          <w:szCs w:val="24"/>
          <w:lang w:eastAsia="tr-TR"/>
        </w:rPr>
      </w:pPr>
    </w:p>
    <w:p w14:paraId="5B691F6A" w14:textId="3C288D28" w:rsidR="006C143B" w:rsidRDefault="006C143B" w:rsidP="00B26CB2">
      <w:pPr>
        <w:jc w:val="both"/>
        <w:rPr>
          <w:sz w:val="24"/>
          <w:szCs w:val="24"/>
          <w:lang w:eastAsia="tr-TR"/>
        </w:rPr>
      </w:pPr>
      <w:r w:rsidRPr="006C143B">
        <w:rPr>
          <w:sz w:val="24"/>
          <w:szCs w:val="24"/>
          <w:lang w:eastAsia="tr-TR"/>
        </w:rPr>
        <w:t>Sirkülerdeki önemli bulduğumuz hususlar aşağıda belirtilmiştir.</w:t>
      </w:r>
    </w:p>
    <w:p w14:paraId="7317092B" w14:textId="77777777" w:rsidR="006C143B" w:rsidRPr="005124AE" w:rsidRDefault="006C143B" w:rsidP="00B26CB2">
      <w:pPr>
        <w:jc w:val="both"/>
        <w:rPr>
          <w:sz w:val="24"/>
          <w:szCs w:val="24"/>
          <w:lang w:eastAsia="tr-TR"/>
        </w:rPr>
      </w:pPr>
    </w:p>
    <w:p w14:paraId="3D7AA34E"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r>
      <w:proofErr w:type="spellStart"/>
      <w:r w:rsidRPr="001656CB">
        <w:rPr>
          <w:sz w:val="24"/>
          <w:szCs w:val="24"/>
          <w:lang w:eastAsia="tr-TR"/>
        </w:rPr>
        <w:t>Sirküler’de</w:t>
      </w:r>
      <w:proofErr w:type="spellEnd"/>
      <w:r w:rsidRPr="001656CB">
        <w:rPr>
          <w:sz w:val="24"/>
          <w:szCs w:val="24"/>
          <w:lang w:eastAsia="tr-TR"/>
        </w:rPr>
        <w:t xml:space="preserve"> verilen örnekte (Örnek 1) enflasyon düzeltmesinden kaynaklı 2023 sonunda oluşan enflasyon düzeltme karı (örnekte 209.254,28 TL kar), 570 geçmiş yıllar karları hesabı (15.000 TL) ve 590 dönem net karı (10.000 TL) ile birleştirilerek tek kalemde 234.254,28 TL (= 209.254,28 TL + 15.000 TL + 10.000 TL) kar </w:t>
      </w:r>
      <w:proofErr w:type="gramStart"/>
      <w:r w:rsidRPr="001656CB">
        <w:rPr>
          <w:sz w:val="24"/>
          <w:szCs w:val="24"/>
          <w:lang w:eastAsia="tr-TR"/>
        </w:rPr>
        <w:t>“ 1.</w:t>
      </w:r>
      <w:proofErr w:type="gramEnd"/>
      <w:r w:rsidRPr="001656CB">
        <w:rPr>
          <w:sz w:val="24"/>
          <w:szCs w:val="24"/>
          <w:lang w:eastAsia="tr-TR"/>
        </w:rPr>
        <w:t xml:space="preserve"> Geçmiş Yıllar Karları” hesabında gösterilmiştir.</w:t>
      </w:r>
    </w:p>
    <w:p w14:paraId="24D7C8AB" w14:textId="77777777" w:rsidR="001656CB" w:rsidRPr="001656CB" w:rsidRDefault="001656CB" w:rsidP="00B26CB2">
      <w:pPr>
        <w:jc w:val="both"/>
        <w:rPr>
          <w:sz w:val="24"/>
          <w:szCs w:val="24"/>
          <w:lang w:eastAsia="tr-TR"/>
        </w:rPr>
      </w:pPr>
    </w:p>
    <w:p w14:paraId="053A2017"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Reel olmayan finansman maliyeti (ROFM) tespit yöntemlerinden “toplam finansman maliyetinin esas alınması” yönteminde, esas alınacak ortalama ticari kredi faiz oranları belirlenmiştir (Ek 3). Esas alınacak faiz oranının hesap döneminin ilk ayı için (takvim yılı olanlarda Ocak) açıklanan faiz oranı olduğu belirtilmiştir.</w:t>
      </w:r>
    </w:p>
    <w:p w14:paraId="21EDCF46" w14:textId="77777777" w:rsidR="001656CB" w:rsidRPr="001656CB" w:rsidRDefault="001656CB" w:rsidP="00B26CB2">
      <w:pPr>
        <w:jc w:val="both"/>
        <w:rPr>
          <w:sz w:val="24"/>
          <w:szCs w:val="24"/>
          <w:lang w:eastAsia="tr-TR"/>
        </w:rPr>
      </w:pPr>
    </w:p>
    <w:p w14:paraId="3B357DC2"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Yine Haklar” hesabında takip edilen finansal kiralamadan kaynaklananlar dâhil maddi olmayan duran varlıklar ROFM ayrıştırması yapılması gereken parasal olmayan kıymetler kapsamında olmadığı belirtilmiştir.</w:t>
      </w:r>
    </w:p>
    <w:p w14:paraId="0E264057" w14:textId="77777777" w:rsidR="001656CB" w:rsidRPr="001656CB" w:rsidRDefault="001656CB" w:rsidP="00B26CB2">
      <w:pPr>
        <w:jc w:val="both"/>
        <w:rPr>
          <w:sz w:val="24"/>
          <w:szCs w:val="24"/>
          <w:lang w:eastAsia="tr-TR"/>
        </w:rPr>
      </w:pPr>
    </w:p>
    <w:p w14:paraId="6C7EFA4E"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Sermaye azaltımlarına yönelik “Sermayenin düzeltilmesinde, düzeltmenin yapıldığı tarihteki sermayenin yapısı dikkate alınacak olup, bu kapsamda sermaye azaltımlarında söz konusu sermaye azaltımının daha önce sermayeye eklenen hangi artış kaleminden yapıldığı tespit edilecek ve söz konusu kalemin düzeltilmesi gereken bir unsur olması halinde, bu kalem azaltılan tutarı üzerinden düzeltme işlemine tabi tutulacaktır. </w:t>
      </w:r>
    </w:p>
    <w:p w14:paraId="5E558516" w14:textId="77777777" w:rsidR="001656CB" w:rsidRPr="001656CB" w:rsidRDefault="001656CB" w:rsidP="00B26CB2">
      <w:pPr>
        <w:jc w:val="both"/>
        <w:rPr>
          <w:sz w:val="24"/>
          <w:szCs w:val="24"/>
          <w:lang w:eastAsia="tr-TR"/>
        </w:rPr>
      </w:pPr>
    </w:p>
    <w:p w14:paraId="11DF757C"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Bununla birlikte sermaye hesabı içerisinde sermayeye eklenmiş geçmiş yıllar kârları, sermaye ve kâr yedekleri ile fonların bulunması durumunda, yapılan sermaye azaltımının hangi kalemlerden </w:t>
      </w:r>
      <w:r w:rsidRPr="001656CB">
        <w:rPr>
          <w:sz w:val="24"/>
          <w:szCs w:val="24"/>
          <w:lang w:eastAsia="tr-TR"/>
        </w:rPr>
        <w:lastRenderedPageBreak/>
        <w:t>yapıldığının tespitinde, 5520 sayılı Kanunun 32/B maddesi hükmünün dikkate alınması gerekmektedir.</w:t>
      </w:r>
    </w:p>
    <w:p w14:paraId="44AADD61" w14:textId="77777777" w:rsidR="001656CB" w:rsidRPr="001656CB" w:rsidRDefault="001656CB" w:rsidP="00B26CB2">
      <w:pPr>
        <w:jc w:val="both"/>
        <w:rPr>
          <w:sz w:val="24"/>
          <w:szCs w:val="24"/>
          <w:lang w:eastAsia="tr-TR"/>
        </w:rPr>
      </w:pPr>
    </w:p>
    <w:p w14:paraId="69FBA914"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Ayrıca verilen örnekte (Örnek 13); 5 Kasım 2018’de yapılan sermaye azaltımının Aralık 2017’de yapılan sermaye artışından karşılandığının “kabul edildiği” (benzer olarak 6 Haziran 2023’te yapılan sermaye azaltımının Eylül 2021’de yapılan sermaye artışından karşılandığının “kabul edildiği”) belirtilerek ilk giren ilk çıkar yönteminden farklı olarak bir eşleştirme yönteminden bahsedilmiştir. </w:t>
      </w:r>
    </w:p>
    <w:p w14:paraId="7692521C" w14:textId="77777777" w:rsidR="001656CB" w:rsidRPr="001656CB" w:rsidRDefault="001656CB" w:rsidP="00B26CB2">
      <w:pPr>
        <w:jc w:val="both"/>
        <w:rPr>
          <w:sz w:val="24"/>
          <w:szCs w:val="24"/>
          <w:lang w:eastAsia="tr-TR"/>
        </w:rPr>
      </w:pPr>
    </w:p>
    <w:p w14:paraId="6664E0F3"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6102 sayılı Türk Ticaret Kanunu’nun 376’ncı maddesi uyarınca sermayenin tamamlanmasına karar verilen şirketin ortakları tarafından zarar sebebiyle karşılıksız kalan kısmı kapatacak miktarda aktarılan ve öz kaynaklar içerisinde takip edilen sermaye tamamlama fonu, parasal olmayan kıymet olarak kabul edilecek ve düzeltmeye tabi tutulacaktır.  </w:t>
      </w:r>
    </w:p>
    <w:p w14:paraId="4716AFF4" w14:textId="77777777" w:rsidR="001656CB" w:rsidRPr="001656CB" w:rsidRDefault="001656CB" w:rsidP="00B26CB2">
      <w:pPr>
        <w:jc w:val="both"/>
        <w:rPr>
          <w:sz w:val="24"/>
          <w:szCs w:val="24"/>
          <w:lang w:eastAsia="tr-TR"/>
        </w:rPr>
      </w:pPr>
    </w:p>
    <w:p w14:paraId="4C691023"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Sermaye avansı olarak sermaye yedekleri hesabında takip edilen tutarların parasal kıymet olarak kabul edilmesi ve düzeltmeye tabi tutulmaması uygun bulunmuştur.</w:t>
      </w:r>
    </w:p>
    <w:p w14:paraId="759CE926" w14:textId="77777777" w:rsidR="001656CB" w:rsidRPr="001656CB" w:rsidRDefault="001656CB" w:rsidP="00B26CB2">
      <w:pPr>
        <w:jc w:val="both"/>
        <w:rPr>
          <w:sz w:val="24"/>
          <w:szCs w:val="24"/>
          <w:lang w:eastAsia="tr-TR"/>
        </w:rPr>
      </w:pPr>
    </w:p>
    <w:p w14:paraId="1FA9603A"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Stoklarla ilgili toplulaştırılmış yöntem/gerçek yöntem seçimi ve 2024’te yapılan seçimin değiştirilememesi konusunda bazı belirlemeler yapılmıştır. Stoklardaki alt ayrım uygulaması açısından buradaki açıklamalar önemli görülebilecektir.  </w:t>
      </w:r>
    </w:p>
    <w:p w14:paraId="3FDD49A4" w14:textId="77777777" w:rsidR="001656CB" w:rsidRPr="001656CB" w:rsidRDefault="001656CB" w:rsidP="00B26CB2">
      <w:pPr>
        <w:jc w:val="both"/>
        <w:rPr>
          <w:sz w:val="24"/>
          <w:szCs w:val="24"/>
          <w:lang w:eastAsia="tr-TR"/>
        </w:rPr>
      </w:pPr>
    </w:p>
    <w:p w14:paraId="275EF7BD"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“2024 hesap dönemi ilk geçici vergi dönemi itibarıyla yapılan toplulaştırılmış yöntem tercihi sonraki dönemlerde değiştirilemediği gibi, toplulaştırılmış yöntem tercihinde bulunanların her bir mal grubu ve alt ayrım itibarıyla seçtikleri toplulaştırılmış yöntemden üç hesap dönemi boyunca vazgeçmeleri mümkün değildir. Ancak, 2024 hesap dönemi ilk geçici vergi dönemi itibarıyla yapılan gerçek yöntem tercihi sonraki hesap döneminde değiştirilebilecektir. </w:t>
      </w:r>
    </w:p>
    <w:p w14:paraId="0152DB5D" w14:textId="77777777" w:rsidR="001656CB" w:rsidRPr="001656CB" w:rsidRDefault="001656CB" w:rsidP="00B26CB2">
      <w:pPr>
        <w:jc w:val="both"/>
        <w:rPr>
          <w:sz w:val="24"/>
          <w:szCs w:val="24"/>
          <w:lang w:eastAsia="tr-TR"/>
        </w:rPr>
      </w:pPr>
    </w:p>
    <w:p w14:paraId="62B6401F"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Örneğin, hesap dönemi takvim yılı olan (J) A.Ş. beyaz eşya, telefon ve bisiklet ticareti yapmaktadır. Mükellef 31/12/2023 tarihli stoklarını düzeltme işlemlerine tabi tutarken beyaz eşya için toplulaştırılmış yöntemi seçebilecek, telefon ve bisiklet için ise gerçek yöntemi kullanabilecektir.</w:t>
      </w:r>
    </w:p>
    <w:p w14:paraId="04C6CE17" w14:textId="77777777" w:rsidR="001656CB" w:rsidRPr="001656CB" w:rsidRDefault="001656CB" w:rsidP="00B26CB2">
      <w:pPr>
        <w:jc w:val="both"/>
        <w:rPr>
          <w:sz w:val="24"/>
          <w:szCs w:val="24"/>
          <w:lang w:eastAsia="tr-TR"/>
        </w:rPr>
      </w:pPr>
    </w:p>
    <w:p w14:paraId="59DD0BB7"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mükelleflerce 2024 hesap döneminin ilk geçici vergi dönemi itibarıyla gerçek yöntemin tercih edilmesi halinde (izleyen geçici vergi dönemleri dâhil) içinde bulunulan hesap dönemi sonunda ilgili stok grubu için bu tercihten vazgeçilemeyecek, ancak 2025 hesap döneminden itibaren bu tercih değiştirilebilecektir. Bu durumda 2025 hesap döneminde stok grubu için toplulaştırılmış yöntemi tercih eden mükellef yine izleyen geçici vergi dönemleri ile içinde bulunulan hesap dönemi dâhil, üçüncü hesap döneminin sonuna kadar (bu dönem dâhil) bu yöntemden dönemeyecektir.”</w:t>
      </w:r>
    </w:p>
    <w:p w14:paraId="101750A3" w14:textId="77777777" w:rsidR="001656CB" w:rsidRPr="001656CB" w:rsidRDefault="001656CB" w:rsidP="00B26CB2">
      <w:pPr>
        <w:jc w:val="both"/>
        <w:rPr>
          <w:sz w:val="24"/>
          <w:szCs w:val="24"/>
          <w:lang w:eastAsia="tr-TR"/>
        </w:rPr>
      </w:pPr>
    </w:p>
    <w:p w14:paraId="697D38EE"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Yarı mamul ve mamullerin düzeltmeye esas tarihi olarak bunların deftere kayıt tarihlerinin izlenmesi noktasında açıklamalar yapılmıştır. Bu itibarla yarı mamul ve mamulün düzeltilmesinde düzeltmeye esas tarih </w:t>
      </w:r>
      <w:proofErr w:type="gramStart"/>
      <w:r w:rsidRPr="001656CB">
        <w:rPr>
          <w:sz w:val="24"/>
          <w:szCs w:val="24"/>
          <w:lang w:eastAsia="tr-TR"/>
        </w:rPr>
        <w:t>olarak,  bunların</w:t>
      </w:r>
      <w:proofErr w:type="gramEnd"/>
      <w:r w:rsidRPr="001656CB">
        <w:rPr>
          <w:sz w:val="24"/>
          <w:szCs w:val="24"/>
          <w:lang w:eastAsia="tr-TR"/>
        </w:rPr>
        <w:t xml:space="preserve"> üretilerek aktife kaydedildikleri tarihler değil bu mamullerin maliyetine dâhil edilen ilk madde malzeme, işçilik, genel üretim giderleri gibi unsurların deftere kayıt tarihleri esas alınacaktır.</w:t>
      </w:r>
    </w:p>
    <w:p w14:paraId="03FDF9C0" w14:textId="77777777" w:rsidR="001656CB" w:rsidRPr="001656CB" w:rsidRDefault="001656CB" w:rsidP="00B26CB2">
      <w:pPr>
        <w:jc w:val="both"/>
        <w:rPr>
          <w:sz w:val="24"/>
          <w:szCs w:val="24"/>
          <w:lang w:eastAsia="tr-TR"/>
        </w:rPr>
      </w:pPr>
    </w:p>
    <w:p w14:paraId="4162F4D2"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Yapılmakta olan yatırım hesabının düzeltilmesine yönelik açıklamalar yapılmış ve örnek verilmiştir.</w:t>
      </w:r>
    </w:p>
    <w:p w14:paraId="0C56ED5D" w14:textId="77777777" w:rsidR="001656CB" w:rsidRPr="001656CB" w:rsidRDefault="001656CB" w:rsidP="00B26CB2">
      <w:pPr>
        <w:jc w:val="both"/>
        <w:rPr>
          <w:sz w:val="24"/>
          <w:szCs w:val="24"/>
          <w:lang w:eastAsia="tr-TR"/>
        </w:rPr>
      </w:pPr>
    </w:p>
    <w:p w14:paraId="7DDCD0CA" w14:textId="77777777" w:rsidR="001656CB" w:rsidRPr="001656CB" w:rsidRDefault="001656CB" w:rsidP="00B26CB2">
      <w:pPr>
        <w:jc w:val="both"/>
        <w:rPr>
          <w:sz w:val="24"/>
          <w:szCs w:val="24"/>
          <w:lang w:eastAsia="tr-TR"/>
        </w:rPr>
      </w:pPr>
      <w:r w:rsidRPr="001656CB">
        <w:rPr>
          <w:sz w:val="24"/>
          <w:szCs w:val="24"/>
          <w:lang w:eastAsia="tr-TR"/>
        </w:rPr>
        <w:lastRenderedPageBreak/>
        <w:t>-</w:t>
      </w:r>
      <w:r w:rsidRPr="001656CB">
        <w:rPr>
          <w:sz w:val="24"/>
          <w:szCs w:val="24"/>
          <w:lang w:eastAsia="tr-TR"/>
        </w:rPr>
        <w:tab/>
        <w:t>Ar-</w:t>
      </w:r>
      <w:proofErr w:type="spellStart"/>
      <w:r w:rsidRPr="001656CB">
        <w:rPr>
          <w:sz w:val="24"/>
          <w:szCs w:val="24"/>
          <w:lang w:eastAsia="tr-TR"/>
        </w:rPr>
        <w:t>Ge</w:t>
      </w:r>
      <w:proofErr w:type="spellEnd"/>
      <w:r w:rsidRPr="001656CB">
        <w:rPr>
          <w:sz w:val="24"/>
          <w:szCs w:val="24"/>
          <w:lang w:eastAsia="tr-TR"/>
        </w:rPr>
        <w:t xml:space="preserve"> harcamalarının endekslenmesine yönelik açıklamalar yapılmıştır. Yapılmakta olan yatırımlar için yapılan açıklamaların geçerli olacağı belirtilmiştir. </w:t>
      </w:r>
    </w:p>
    <w:p w14:paraId="1B42C494" w14:textId="77777777" w:rsidR="001656CB" w:rsidRPr="001656CB" w:rsidRDefault="001656CB" w:rsidP="00B26CB2">
      <w:pPr>
        <w:jc w:val="both"/>
        <w:rPr>
          <w:sz w:val="24"/>
          <w:szCs w:val="24"/>
          <w:lang w:eastAsia="tr-TR"/>
        </w:rPr>
      </w:pPr>
    </w:p>
    <w:p w14:paraId="6B7C2A85"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340 Alınan sipariş avanslarının 2023 düzeltilmesi sonucu ortaya çıkan farkın sonraki dönemde (2024 veya izleyen) avansın kapatılmasına müteakip gelir hesaplarına yazılması ancak gelir hesaplarına intikal ettiği (2024 veya izleyen) dönemde vergi matrahından indirilmesine yönelik açıklama yapılmış.</w:t>
      </w:r>
    </w:p>
    <w:p w14:paraId="15781878" w14:textId="77777777" w:rsidR="001656CB" w:rsidRPr="001656CB" w:rsidRDefault="001656CB" w:rsidP="00B26CB2">
      <w:pPr>
        <w:jc w:val="both"/>
        <w:rPr>
          <w:sz w:val="24"/>
          <w:szCs w:val="24"/>
          <w:lang w:eastAsia="tr-TR"/>
        </w:rPr>
      </w:pPr>
    </w:p>
    <w:p w14:paraId="3B4F79A7"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Verilen avansların endekslenmesi ve sonrasında endeksleme farklarının 2024 yılında (avansın ilgili olduğu) stokların maliyetine intikal ettirilmesine yönelik açıklama yapılmıştır. </w:t>
      </w:r>
    </w:p>
    <w:p w14:paraId="72FACF23" w14:textId="77777777" w:rsidR="001656CB" w:rsidRPr="001656CB" w:rsidRDefault="001656CB" w:rsidP="00B26CB2">
      <w:pPr>
        <w:jc w:val="both"/>
        <w:rPr>
          <w:sz w:val="24"/>
          <w:szCs w:val="24"/>
          <w:lang w:eastAsia="tr-TR"/>
        </w:rPr>
      </w:pPr>
    </w:p>
    <w:p w14:paraId="1AE958E5"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-Yabancı para cinsinden olan alınan ve verilen avanslar ile iştirakler düzeltme tarihindeki döviz kuru ile düzeltilecek, ayrıca enflasyon düzeltmesine tabi tutulmayacaktır. Bu kapsamda, yabancı para cinsinden olan bağlı menkul kıymetler ve bağlı ortaklıklar da iştirakler gibi düzeltilecektir.</w:t>
      </w:r>
    </w:p>
    <w:p w14:paraId="05040151" w14:textId="77777777" w:rsidR="001656CB" w:rsidRPr="001656CB" w:rsidRDefault="001656CB" w:rsidP="00B26CB2">
      <w:pPr>
        <w:jc w:val="both"/>
        <w:rPr>
          <w:sz w:val="24"/>
          <w:szCs w:val="24"/>
          <w:lang w:eastAsia="tr-TR"/>
        </w:rPr>
      </w:pPr>
    </w:p>
    <w:p w14:paraId="05B335C7"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-2023 hesap dönemi sonuna ait bilançoda yer alan parasal olmayan kıymetlerden amortismana tabi olmayan kıymetlerin, düzeltilmiş değerlerinin altında bir bedelle satılması halinde, düzeltme sonrası değerle, düzeltme öncesi değer arasındaki farka isabet eden zararın, gelir veya kurumlar vergisi matrahının tespitinde dikkate alınmayacağı belirtilmiştir.</w:t>
      </w:r>
    </w:p>
    <w:p w14:paraId="4722D35B" w14:textId="77777777" w:rsidR="001656CB" w:rsidRPr="001656CB" w:rsidRDefault="001656CB" w:rsidP="00B26CB2">
      <w:pPr>
        <w:jc w:val="both"/>
        <w:rPr>
          <w:sz w:val="24"/>
          <w:szCs w:val="24"/>
          <w:lang w:eastAsia="tr-TR"/>
        </w:rPr>
      </w:pPr>
    </w:p>
    <w:p w14:paraId="1E132F84"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 xml:space="preserve">Banka ve finans kurumlarının, 2024 ve 2025 hesap dönemi enflasyon düzeltmesi yapması neticesinde amortismana tabi iktisadi kıymetleri üzerindeki enflasyon düzeltmesinden kaynaklı değer artışı üzerinden yazacakları amortisman giderlerinin dönem kazancının tespitinde dikkate alınabileceği belirtilmiştir. Yine bu kıymetlerin enflasyon düzeltmesi akabinde satışı halinde düzeltilmiş tutarların maliyet bedeli olarak esas alınabileceği ifade edilmiştir. </w:t>
      </w:r>
    </w:p>
    <w:p w14:paraId="61128C2E" w14:textId="77777777" w:rsidR="001656CB" w:rsidRPr="001656CB" w:rsidRDefault="001656CB" w:rsidP="00B26CB2">
      <w:pPr>
        <w:jc w:val="both"/>
        <w:rPr>
          <w:sz w:val="24"/>
          <w:szCs w:val="24"/>
          <w:lang w:eastAsia="tr-TR"/>
        </w:rPr>
      </w:pPr>
    </w:p>
    <w:p w14:paraId="1F98A784" w14:textId="77777777" w:rsidR="001656CB" w:rsidRPr="001656CB" w:rsidRDefault="001656CB" w:rsidP="00B26CB2">
      <w:pPr>
        <w:jc w:val="both"/>
        <w:rPr>
          <w:sz w:val="24"/>
          <w:szCs w:val="24"/>
          <w:lang w:eastAsia="tr-TR"/>
        </w:rPr>
      </w:pPr>
      <w:r w:rsidRPr="001656CB">
        <w:rPr>
          <w:sz w:val="24"/>
          <w:szCs w:val="24"/>
          <w:lang w:eastAsia="tr-TR"/>
        </w:rPr>
        <w:t>-</w:t>
      </w:r>
      <w:r w:rsidRPr="001656CB">
        <w:rPr>
          <w:sz w:val="24"/>
          <w:szCs w:val="24"/>
          <w:lang w:eastAsia="tr-TR"/>
        </w:rPr>
        <w:tab/>
        <w:t>5520 sayılı Kanunun 5 inci maddesinin birinci fıkrasının (d) bendinde sayılan ve kazançları kurumlar vergisinden istisna edilen fonların, 2023 ve izleyen dönemlerdeki mali tablolarını enflasyon düzeltmesi hükümleri uyarınca düzeltmeye tabi tutmamaları uygun bulunmuştur.</w:t>
      </w:r>
    </w:p>
    <w:p w14:paraId="3E5F2E86" w14:textId="77777777" w:rsidR="001656CB" w:rsidRPr="001656CB" w:rsidRDefault="001656CB" w:rsidP="00B26CB2">
      <w:pPr>
        <w:jc w:val="both"/>
        <w:rPr>
          <w:sz w:val="24"/>
          <w:szCs w:val="24"/>
          <w:lang w:eastAsia="tr-TR"/>
        </w:rPr>
      </w:pPr>
      <w:r w:rsidRPr="001656CB">
        <w:rPr>
          <w:sz w:val="24"/>
          <w:szCs w:val="24"/>
          <w:lang w:eastAsia="tr-TR"/>
        </w:rPr>
        <w:t xml:space="preserve"> </w:t>
      </w:r>
    </w:p>
    <w:p w14:paraId="64888DAA" w14:textId="77777777" w:rsidR="001656CB" w:rsidRPr="001656CB" w:rsidRDefault="001656CB" w:rsidP="00B26CB2">
      <w:pPr>
        <w:jc w:val="both"/>
        <w:rPr>
          <w:sz w:val="24"/>
          <w:szCs w:val="24"/>
          <w:lang w:eastAsia="tr-TR"/>
        </w:rPr>
      </w:pPr>
      <w:r w:rsidRPr="001656CB">
        <w:rPr>
          <w:sz w:val="24"/>
          <w:szCs w:val="24"/>
          <w:lang w:eastAsia="tr-TR"/>
        </w:rPr>
        <w:t>Yer verilen konuda ek bilgi gerektiğinde bizimle temasa geçmenizi rica ederiz.</w:t>
      </w:r>
    </w:p>
    <w:p w14:paraId="65AF9B6E" w14:textId="77777777" w:rsidR="001656CB" w:rsidRPr="001656CB" w:rsidRDefault="001656CB" w:rsidP="00B26CB2">
      <w:pPr>
        <w:jc w:val="both"/>
        <w:rPr>
          <w:sz w:val="24"/>
          <w:szCs w:val="24"/>
          <w:lang w:eastAsia="tr-TR"/>
        </w:rPr>
      </w:pPr>
      <w:r w:rsidRPr="001656CB">
        <w:rPr>
          <w:sz w:val="24"/>
          <w:szCs w:val="24"/>
          <w:lang w:eastAsia="tr-TR"/>
        </w:rPr>
        <w:t xml:space="preserve"> </w:t>
      </w:r>
    </w:p>
    <w:p w14:paraId="692BE808" w14:textId="1CEAC1A6" w:rsidR="005124AE" w:rsidRPr="005124AE" w:rsidRDefault="001656CB" w:rsidP="00B26CB2">
      <w:pPr>
        <w:jc w:val="both"/>
        <w:rPr>
          <w:sz w:val="24"/>
          <w:szCs w:val="24"/>
          <w:lang w:eastAsia="tr-TR"/>
        </w:rPr>
      </w:pPr>
      <w:r w:rsidRPr="001656CB">
        <w:rPr>
          <w:sz w:val="24"/>
          <w:szCs w:val="24"/>
          <w:lang w:eastAsia="tr-TR"/>
        </w:rPr>
        <w:t>Saygılarımızla,</w:t>
      </w:r>
    </w:p>
    <w:p w14:paraId="14C30D23" w14:textId="77777777" w:rsidR="005124AE" w:rsidRPr="005124AE" w:rsidRDefault="005124AE" w:rsidP="00B26CB2">
      <w:pPr>
        <w:jc w:val="both"/>
        <w:rPr>
          <w:sz w:val="24"/>
          <w:szCs w:val="24"/>
          <w:lang w:eastAsia="tr-TR"/>
        </w:rPr>
      </w:pPr>
    </w:p>
    <w:sectPr w:rsidR="005124AE" w:rsidRPr="005124AE" w:rsidSect="00FB0B95">
      <w:headerReference w:type="default" r:id="rId8"/>
      <w:footerReference w:type="default" r:id="rId9"/>
      <w:pgSz w:w="11910" w:h="16840"/>
      <w:pgMar w:top="2000" w:right="1020" w:bottom="1540" w:left="1300" w:header="367" w:footer="13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C7B0" w14:textId="77777777" w:rsidR="00FB0B95" w:rsidRDefault="00FB0B95" w:rsidP="0088208C">
      <w:r>
        <w:separator/>
      </w:r>
    </w:p>
  </w:endnote>
  <w:endnote w:type="continuationSeparator" w:id="0">
    <w:p w14:paraId="74A8A884" w14:textId="77777777" w:rsidR="00FB0B95" w:rsidRDefault="00FB0B95" w:rsidP="0088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75907"/>
      <w:docPartObj>
        <w:docPartGallery w:val="Page Numbers (Bottom of Page)"/>
        <w:docPartUnique/>
      </w:docPartObj>
    </w:sdtPr>
    <w:sdtContent>
      <w:p w14:paraId="2B5A41C3" w14:textId="208C1BC8" w:rsidR="001D67BA" w:rsidRDefault="001D67BA">
        <w:pPr>
          <w:pStyle w:val="AltBilgi"/>
          <w:jc w:val="center"/>
        </w:pPr>
        <w:r>
          <w:fldChar w:fldCharType="begin"/>
        </w:r>
        <w:r>
          <w:instrText>PAGE   \* MERGEFORMAT</w:instrText>
        </w:r>
        <w:r>
          <w:fldChar w:fldCharType="separate"/>
        </w:r>
        <w:r>
          <w:t>2</w:t>
        </w:r>
        <w:r>
          <w:fldChar w:fldCharType="end"/>
        </w:r>
      </w:p>
    </w:sdtContent>
  </w:sdt>
  <w:p w14:paraId="3D3F5567" w14:textId="2B606047" w:rsidR="00815389" w:rsidRDefault="00815389" w:rsidP="00B4257C">
    <w:pPr>
      <w:pStyle w:val="AltBilgi"/>
      <w:tabs>
        <w:tab w:val="clear" w:pos="4536"/>
        <w:tab w:val="clear" w:pos="9072"/>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6EAB" w14:textId="77777777" w:rsidR="00FB0B95" w:rsidRDefault="00FB0B95" w:rsidP="0088208C">
      <w:r>
        <w:separator/>
      </w:r>
    </w:p>
  </w:footnote>
  <w:footnote w:type="continuationSeparator" w:id="0">
    <w:p w14:paraId="72E90873" w14:textId="77777777" w:rsidR="00FB0B95" w:rsidRDefault="00FB0B95" w:rsidP="0088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398" w14:textId="5F7E3E1D" w:rsidR="00815389" w:rsidRDefault="00815389" w:rsidP="00815389">
    <w:pPr>
      <w:pStyle w:val="stBilgi"/>
      <w:jc w:val="right"/>
    </w:pPr>
    <w:r>
      <w:rPr>
        <w:noProof/>
      </w:rPr>
      <w:drawing>
        <wp:inline distT="0" distB="0" distL="0" distR="0" wp14:anchorId="0921C02C" wp14:editId="6ED5FF18">
          <wp:extent cx="1611630" cy="567690"/>
          <wp:effectExtent l="0" t="0" r="7620" b="3810"/>
          <wp:docPr id="854493105" name="Resim 2"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93105" name="Resim 2" descr="metin, yazı tipi, grafik,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567690"/>
                  </a:xfrm>
                  <a:prstGeom prst="rect">
                    <a:avLst/>
                  </a:prstGeom>
                  <a:noFill/>
                  <a:ln>
                    <a:noFill/>
                  </a:ln>
                </pic:spPr>
              </pic:pic>
            </a:graphicData>
          </a:graphic>
        </wp:inline>
      </w:drawing>
    </w:r>
  </w:p>
  <w:p w14:paraId="2A421B97" w14:textId="77777777" w:rsidR="004417E8" w:rsidRPr="00A03562" w:rsidRDefault="004417E8" w:rsidP="004417E8">
    <w:pPr>
      <w:pStyle w:val="stBilgi"/>
      <w:jc w:val="right"/>
      <w:rPr>
        <w:rFonts w:ascii="Abadi Extra Light" w:hAnsi="Abadi Extra Light"/>
        <w:sz w:val="30"/>
        <w:szCs w:val="30"/>
      </w:rPr>
    </w:pPr>
    <w:r w:rsidRPr="00A03562">
      <w:rPr>
        <w:rFonts w:ascii="Abadi Extra Light" w:hAnsi="Abadi Extra Light"/>
        <w:sz w:val="30"/>
        <w:szCs w:val="30"/>
      </w:rPr>
      <w:t xml:space="preserve">Be a </w:t>
    </w:r>
    <w:proofErr w:type="spellStart"/>
    <w:r w:rsidRPr="00A03562">
      <w:rPr>
        <w:rFonts w:ascii="Abadi Extra Light" w:hAnsi="Abadi Extra Light"/>
        <w:sz w:val="30"/>
        <w:szCs w:val="30"/>
      </w:rPr>
      <w:t>Part</w:t>
    </w:r>
    <w:proofErr w:type="spellEnd"/>
    <w:r w:rsidRPr="00A03562">
      <w:rPr>
        <w:rFonts w:ascii="Abadi Extra Light" w:hAnsi="Abadi Extra Light"/>
        <w:sz w:val="30"/>
        <w:szCs w:val="30"/>
      </w:rPr>
      <w:t xml:space="preserve"> of </w:t>
    </w:r>
    <w:proofErr w:type="spellStart"/>
    <w:r w:rsidRPr="00A03562">
      <w:rPr>
        <w:rFonts w:ascii="Abadi Extra Light" w:hAnsi="Abadi Extra Light"/>
        <w:sz w:val="30"/>
        <w:szCs w:val="30"/>
      </w:rPr>
      <w:t>Progress</w:t>
    </w:r>
    <w:proofErr w:type="spellEnd"/>
  </w:p>
  <w:p w14:paraId="782B2547" w14:textId="77777777" w:rsidR="004417E8" w:rsidRDefault="004417E8" w:rsidP="0081538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7021"/>
    <w:multiLevelType w:val="hybridMultilevel"/>
    <w:tmpl w:val="028E55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713492"/>
    <w:multiLevelType w:val="hybridMultilevel"/>
    <w:tmpl w:val="6CBAA2BA"/>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11F86"/>
    <w:multiLevelType w:val="hybridMultilevel"/>
    <w:tmpl w:val="60CA9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76669A"/>
    <w:multiLevelType w:val="hybridMultilevel"/>
    <w:tmpl w:val="F89286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4F12D2"/>
    <w:multiLevelType w:val="hybridMultilevel"/>
    <w:tmpl w:val="7FE60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B81D1B"/>
    <w:multiLevelType w:val="hybridMultilevel"/>
    <w:tmpl w:val="B1909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B55FDD"/>
    <w:multiLevelType w:val="hybridMultilevel"/>
    <w:tmpl w:val="9EDE3714"/>
    <w:lvl w:ilvl="0" w:tplc="EA321658">
      <w:start w:val="3"/>
      <w:numFmt w:val="upperLetter"/>
      <w:lvlText w:val="%1."/>
      <w:lvlJc w:val="left"/>
      <w:pPr>
        <w:ind w:left="703" w:hanging="360"/>
      </w:pPr>
      <w:rPr>
        <w:rFonts w:hint="default"/>
      </w:rPr>
    </w:lvl>
    <w:lvl w:ilvl="1" w:tplc="041F0019" w:tentative="1">
      <w:start w:val="1"/>
      <w:numFmt w:val="lowerLetter"/>
      <w:lvlText w:val="%2."/>
      <w:lvlJc w:val="left"/>
      <w:pPr>
        <w:ind w:left="1423" w:hanging="360"/>
      </w:pPr>
    </w:lvl>
    <w:lvl w:ilvl="2" w:tplc="041F001B" w:tentative="1">
      <w:start w:val="1"/>
      <w:numFmt w:val="lowerRoman"/>
      <w:lvlText w:val="%3."/>
      <w:lvlJc w:val="right"/>
      <w:pPr>
        <w:ind w:left="2143" w:hanging="180"/>
      </w:pPr>
    </w:lvl>
    <w:lvl w:ilvl="3" w:tplc="041F000F" w:tentative="1">
      <w:start w:val="1"/>
      <w:numFmt w:val="decimal"/>
      <w:lvlText w:val="%4."/>
      <w:lvlJc w:val="left"/>
      <w:pPr>
        <w:ind w:left="2863" w:hanging="360"/>
      </w:pPr>
    </w:lvl>
    <w:lvl w:ilvl="4" w:tplc="041F0019" w:tentative="1">
      <w:start w:val="1"/>
      <w:numFmt w:val="lowerLetter"/>
      <w:lvlText w:val="%5."/>
      <w:lvlJc w:val="left"/>
      <w:pPr>
        <w:ind w:left="3583" w:hanging="360"/>
      </w:pPr>
    </w:lvl>
    <w:lvl w:ilvl="5" w:tplc="041F001B" w:tentative="1">
      <w:start w:val="1"/>
      <w:numFmt w:val="lowerRoman"/>
      <w:lvlText w:val="%6."/>
      <w:lvlJc w:val="right"/>
      <w:pPr>
        <w:ind w:left="4303" w:hanging="180"/>
      </w:pPr>
    </w:lvl>
    <w:lvl w:ilvl="6" w:tplc="041F000F" w:tentative="1">
      <w:start w:val="1"/>
      <w:numFmt w:val="decimal"/>
      <w:lvlText w:val="%7."/>
      <w:lvlJc w:val="left"/>
      <w:pPr>
        <w:ind w:left="5023" w:hanging="360"/>
      </w:pPr>
    </w:lvl>
    <w:lvl w:ilvl="7" w:tplc="041F0019" w:tentative="1">
      <w:start w:val="1"/>
      <w:numFmt w:val="lowerLetter"/>
      <w:lvlText w:val="%8."/>
      <w:lvlJc w:val="left"/>
      <w:pPr>
        <w:ind w:left="5743" w:hanging="360"/>
      </w:pPr>
    </w:lvl>
    <w:lvl w:ilvl="8" w:tplc="041F001B" w:tentative="1">
      <w:start w:val="1"/>
      <w:numFmt w:val="lowerRoman"/>
      <w:lvlText w:val="%9."/>
      <w:lvlJc w:val="right"/>
      <w:pPr>
        <w:ind w:left="6463" w:hanging="180"/>
      </w:pPr>
    </w:lvl>
  </w:abstractNum>
  <w:abstractNum w:abstractNumId="7" w15:restartNumberingAfterBreak="0">
    <w:nsid w:val="5C9056B9"/>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8" w15:restartNumberingAfterBreak="0">
    <w:nsid w:val="5DBF39EB"/>
    <w:multiLevelType w:val="hybridMultilevel"/>
    <w:tmpl w:val="513CD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0A1397"/>
    <w:multiLevelType w:val="hybridMultilevel"/>
    <w:tmpl w:val="F40880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86013D"/>
    <w:multiLevelType w:val="hybridMultilevel"/>
    <w:tmpl w:val="44B89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CD6598"/>
    <w:multiLevelType w:val="hybridMultilevel"/>
    <w:tmpl w:val="5F769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B6301B"/>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13" w15:restartNumberingAfterBreak="0">
    <w:nsid w:val="68024FEC"/>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14" w15:restartNumberingAfterBreak="0">
    <w:nsid w:val="76921BDF"/>
    <w:multiLevelType w:val="hybridMultilevel"/>
    <w:tmpl w:val="060C7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094EE9"/>
    <w:multiLevelType w:val="hybridMultilevel"/>
    <w:tmpl w:val="1ACA1D1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B472694"/>
    <w:multiLevelType w:val="hybridMultilevel"/>
    <w:tmpl w:val="8DD6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84334514">
    <w:abstractNumId w:val="11"/>
  </w:num>
  <w:num w:numId="2" w16cid:durableId="930040842">
    <w:abstractNumId w:val="2"/>
  </w:num>
  <w:num w:numId="3" w16cid:durableId="1057360964">
    <w:abstractNumId w:val="1"/>
  </w:num>
  <w:num w:numId="4" w16cid:durableId="1717850024">
    <w:abstractNumId w:val="14"/>
  </w:num>
  <w:num w:numId="5" w16cid:durableId="846410753">
    <w:abstractNumId w:val="9"/>
  </w:num>
  <w:num w:numId="6" w16cid:durableId="310986670">
    <w:abstractNumId w:val="3"/>
  </w:num>
  <w:num w:numId="7" w16cid:durableId="20323696">
    <w:abstractNumId w:val="15"/>
  </w:num>
  <w:num w:numId="8" w16cid:durableId="55053289">
    <w:abstractNumId w:val="13"/>
  </w:num>
  <w:num w:numId="9" w16cid:durableId="385377909">
    <w:abstractNumId w:val="12"/>
  </w:num>
  <w:num w:numId="10" w16cid:durableId="1712420105">
    <w:abstractNumId w:val="7"/>
  </w:num>
  <w:num w:numId="11" w16cid:durableId="292712063">
    <w:abstractNumId w:val="6"/>
  </w:num>
  <w:num w:numId="12" w16cid:durableId="596450215">
    <w:abstractNumId w:val="5"/>
  </w:num>
  <w:num w:numId="13" w16cid:durableId="800925793">
    <w:abstractNumId w:val="10"/>
  </w:num>
  <w:num w:numId="14" w16cid:durableId="1815558846">
    <w:abstractNumId w:val="16"/>
  </w:num>
  <w:num w:numId="15" w16cid:durableId="1200554483">
    <w:abstractNumId w:val="4"/>
  </w:num>
  <w:num w:numId="16" w16cid:durableId="1064795811">
    <w:abstractNumId w:val="0"/>
  </w:num>
  <w:num w:numId="17" w16cid:durableId="441075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8C"/>
    <w:rsid w:val="000453C9"/>
    <w:rsid w:val="0007668D"/>
    <w:rsid w:val="000925D4"/>
    <w:rsid w:val="00093D2F"/>
    <w:rsid w:val="000A1DFD"/>
    <w:rsid w:val="000B5AD2"/>
    <w:rsid w:val="000C0657"/>
    <w:rsid w:val="000C0B40"/>
    <w:rsid w:val="000E3291"/>
    <w:rsid w:val="000E337A"/>
    <w:rsid w:val="00117B90"/>
    <w:rsid w:val="0015120A"/>
    <w:rsid w:val="001656CB"/>
    <w:rsid w:val="00173277"/>
    <w:rsid w:val="00173D43"/>
    <w:rsid w:val="001A2471"/>
    <w:rsid w:val="001C3BC3"/>
    <w:rsid w:val="001C55EF"/>
    <w:rsid w:val="001D67BA"/>
    <w:rsid w:val="001E0996"/>
    <w:rsid w:val="001E6D98"/>
    <w:rsid w:val="001F7B74"/>
    <w:rsid w:val="00251719"/>
    <w:rsid w:val="002774BE"/>
    <w:rsid w:val="00296931"/>
    <w:rsid w:val="002C3C0D"/>
    <w:rsid w:val="002D5E88"/>
    <w:rsid w:val="002E096C"/>
    <w:rsid w:val="002F5EA8"/>
    <w:rsid w:val="00307072"/>
    <w:rsid w:val="00323407"/>
    <w:rsid w:val="00341267"/>
    <w:rsid w:val="00345C04"/>
    <w:rsid w:val="003A386D"/>
    <w:rsid w:val="003A6936"/>
    <w:rsid w:val="003F0B48"/>
    <w:rsid w:val="004212DF"/>
    <w:rsid w:val="0042798E"/>
    <w:rsid w:val="004417E8"/>
    <w:rsid w:val="00442372"/>
    <w:rsid w:val="004B369A"/>
    <w:rsid w:val="004B765B"/>
    <w:rsid w:val="004D5D33"/>
    <w:rsid w:val="004F1509"/>
    <w:rsid w:val="005124AE"/>
    <w:rsid w:val="0058605D"/>
    <w:rsid w:val="005A0B9F"/>
    <w:rsid w:val="005A1DAD"/>
    <w:rsid w:val="005A4ADF"/>
    <w:rsid w:val="005A5D7B"/>
    <w:rsid w:val="005B7BD8"/>
    <w:rsid w:val="005C24A7"/>
    <w:rsid w:val="0060565F"/>
    <w:rsid w:val="00607A9B"/>
    <w:rsid w:val="006162F9"/>
    <w:rsid w:val="00633F3A"/>
    <w:rsid w:val="006376E1"/>
    <w:rsid w:val="006532D8"/>
    <w:rsid w:val="00661C6C"/>
    <w:rsid w:val="0066598D"/>
    <w:rsid w:val="00691B20"/>
    <w:rsid w:val="00693D6B"/>
    <w:rsid w:val="006B73ED"/>
    <w:rsid w:val="006C143B"/>
    <w:rsid w:val="006E1E1F"/>
    <w:rsid w:val="00726889"/>
    <w:rsid w:val="00735161"/>
    <w:rsid w:val="00777232"/>
    <w:rsid w:val="00793942"/>
    <w:rsid w:val="007A77FF"/>
    <w:rsid w:val="007F038F"/>
    <w:rsid w:val="00815389"/>
    <w:rsid w:val="008217A6"/>
    <w:rsid w:val="00833F9D"/>
    <w:rsid w:val="00841EBE"/>
    <w:rsid w:val="00881A68"/>
    <w:rsid w:val="00881BA6"/>
    <w:rsid w:val="0088208C"/>
    <w:rsid w:val="008A7EA2"/>
    <w:rsid w:val="008B7224"/>
    <w:rsid w:val="008C362D"/>
    <w:rsid w:val="008C6334"/>
    <w:rsid w:val="00912C3A"/>
    <w:rsid w:val="00917833"/>
    <w:rsid w:val="00921405"/>
    <w:rsid w:val="009234A9"/>
    <w:rsid w:val="00923D53"/>
    <w:rsid w:val="009834BD"/>
    <w:rsid w:val="009905B1"/>
    <w:rsid w:val="009D6728"/>
    <w:rsid w:val="00A15A84"/>
    <w:rsid w:val="00A521FE"/>
    <w:rsid w:val="00A605C6"/>
    <w:rsid w:val="00AB02C2"/>
    <w:rsid w:val="00AB5FE6"/>
    <w:rsid w:val="00B26CB2"/>
    <w:rsid w:val="00B354E8"/>
    <w:rsid w:val="00B4257C"/>
    <w:rsid w:val="00B6660C"/>
    <w:rsid w:val="00BB329A"/>
    <w:rsid w:val="00BD7DC4"/>
    <w:rsid w:val="00C36000"/>
    <w:rsid w:val="00C40500"/>
    <w:rsid w:val="00C57BB3"/>
    <w:rsid w:val="00CA4F0A"/>
    <w:rsid w:val="00CF1DBD"/>
    <w:rsid w:val="00D33501"/>
    <w:rsid w:val="00D454B1"/>
    <w:rsid w:val="00D53CF3"/>
    <w:rsid w:val="00DA27D9"/>
    <w:rsid w:val="00DA3387"/>
    <w:rsid w:val="00DF3E4D"/>
    <w:rsid w:val="00E03D0C"/>
    <w:rsid w:val="00E426B6"/>
    <w:rsid w:val="00EB573D"/>
    <w:rsid w:val="00EF569B"/>
    <w:rsid w:val="00F01857"/>
    <w:rsid w:val="00F258CE"/>
    <w:rsid w:val="00F428A6"/>
    <w:rsid w:val="00F62C17"/>
    <w:rsid w:val="00F80FCD"/>
    <w:rsid w:val="00FB0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9660"/>
  <w15:chartTrackingRefBased/>
  <w15:docId w15:val="{EFEB6324-F3A9-41CD-B8A6-B16F9D90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8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88208C"/>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208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8208C"/>
    <w:rPr>
      <w:sz w:val="24"/>
      <w:szCs w:val="24"/>
    </w:rPr>
  </w:style>
  <w:style w:type="character" w:customStyle="1" w:styleId="GvdeMetniChar">
    <w:name w:val="Gövde Metni Char"/>
    <w:basedOn w:val="VarsaylanParagrafYazTipi"/>
    <w:link w:val="GvdeMetni"/>
    <w:uiPriority w:val="1"/>
    <w:rsid w:val="0088208C"/>
    <w:rPr>
      <w:rFonts w:ascii="Times New Roman" w:eastAsia="Times New Roman" w:hAnsi="Times New Roman" w:cs="Times New Roman"/>
      <w:sz w:val="24"/>
      <w:szCs w:val="24"/>
    </w:rPr>
  </w:style>
  <w:style w:type="table" w:styleId="TabloKlavuzu">
    <w:name w:val="Table Grid"/>
    <w:basedOn w:val="NormalTablo"/>
    <w:uiPriority w:val="39"/>
    <w:rsid w:val="008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08C"/>
    <w:pPr>
      <w:tabs>
        <w:tab w:val="center" w:pos="4536"/>
        <w:tab w:val="right" w:pos="9072"/>
      </w:tabs>
    </w:pPr>
  </w:style>
  <w:style w:type="character" w:customStyle="1" w:styleId="stBilgiChar">
    <w:name w:val="Üst Bilgi Char"/>
    <w:basedOn w:val="VarsaylanParagrafYazTipi"/>
    <w:link w:val="stBilgi"/>
    <w:uiPriority w:val="99"/>
    <w:rsid w:val="0088208C"/>
    <w:rPr>
      <w:rFonts w:ascii="Times New Roman" w:eastAsia="Times New Roman" w:hAnsi="Times New Roman" w:cs="Times New Roman"/>
    </w:rPr>
  </w:style>
  <w:style w:type="paragraph" w:styleId="AltBilgi">
    <w:name w:val="footer"/>
    <w:basedOn w:val="Normal"/>
    <w:link w:val="AltBilgiChar"/>
    <w:uiPriority w:val="99"/>
    <w:unhideWhenUsed/>
    <w:rsid w:val="0088208C"/>
    <w:pPr>
      <w:tabs>
        <w:tab w:val="center" w:pos="4536"/>
        <w:tab w:val="right" w:pos="9072"/>
      </w:tabs>
    </w:pPr>
  </w:style>
  <w:style w:type="character" w:customStyle="1" w:styleId="AltBilgiChar">
    <w:name w:val="Alt Bilgi Char"/>
    <w:basedOn w:val="VarsaylanParagrafYazTipi"/>
    <w:link w:val="AltBilgi"/>
    <w:uiPriority w:val="99"/>
    <w:rsid w:val="0088208C"/>
    <w:rPr>
      <w:rFonts w:ascii="Times New Roman" w:eastAsia="Times New Roman" w:hAnsi="Times New Roman" w:cs="Times New Roman"/>
    </w:rPr>
  </w:style>
  <w:style w:type="paragraph" w:styleId="ListeParagraf">
    <w:name w:val="List Paragraph"/>
    <w:basedOn w:val="Normal"/>
    <w:uiPriority w:val="34"/>
    <w:qFormat/>
    <w:rsid w:val="0088208C"/>
    <w:pPr>
      <w:widowControl/>
      <w:autoSpaceDE/>
      <w:autoSpaceDN/>
      <w:ind w:left="720"/>
      <w:contextualSpacing/>
    </w:pPr>
    <w:rPr>
      <w:rFonts w:asciiTheme="minorHAnsi" w:eastAsiaTheme="minorHAnsi" w:hAnsiTheme="minorHAnsi" w:cstheme="minorBidi"/>
      <w:sz w:val="24"/>
      <w:szCs w:val="24"/>
    </w:rPr>
  </w:style>
  <w:style w:type="paragraph" w:customStyle="1" w:styleId="TableParagraph">
    <w:name w:val="Table Paragraph"/>
    <w:basedOn w:val="Normal"/>
    <w:uiPriority w:val="1"/>
    <w:qFormat/>
    <w:rsid w:val="0088208C"/>
    <w:pPr>
      <w:spacing w:before="56"/>
      <w:ind w:left="49"/>
    </w:pPr>
    <w:rPr>
      <w:rFonts w:ascii="Tahoma" w:eastAsia="Tahoma" w:hAnsi="Tahoma" w:cs="Tahoma"/>
    </w:rPr>
  </w:style>
  <w:style w:type="table" w:customStyle="1" w:styleId="TableNormal1">
    <w:name w:val="Table Normal1"/>
    <w:uiPriority w:val="2"/>
    <w:semiHidden/>
    <w:qFormat/>
    <w:rsid w:val="0088208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9834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C3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8672">
      <w:bodyDiv w:val="1"/>
      <w:marLeft w:val="0"/>
      <w:marRight w:val="0"/>
      <w:marTop w:val="0"/>
      <w:marBottom w:val="0"/>
      <w:divBdr>
        <w:top w:val="none" w:sz="0" w:space="0" w:color="auto"/>
        <w:left w:val="none" w:sz="0" w:space="0" w:color="auto"/>
        <w:bottom w:val="none" w:sz="0" w:space="0" w:color="auto"/>
        <w:right w:val="none" w:sz="0" w:space="0" w:color="auto"/>
      </w:divBdr>
      <w:divsChild>
        <w:div w:id="552693145">
          <w:marLeft w:val="0"/>
          <w:marRight w:val="0"/>
          <w:marTop w:val="0"/>
          <w:marBottom w:val="0"/>
          <w:divBdr>
            <w:top w:val="none" w:sz="0" w:space="0" w:color="auto"/>
            <w:left w:val="none" w:sz="0" w:space="0" w:color="auto"/>
            <w:bottom w:val="none" w:sz="0" w:space="0" w:color="auto"/>
            <w:right w:val="none" w:sz="0" w:space="0" w:color="auto"/>
          </w:divBdr>
        </w:div>
        <w:div w:id="825442030">
          <w:marLeft w:val="0"/>
          <w:marRight w:val="0"/>
          <w:marTop w:val="0"/>
          <w:marBottom w:val="0"/>
          <w:divBdr>
            <w:top w:val="none" w:sz="0" w:space="0" w:color="auto"/>
            <w:left w:val="none" w:sz="0" w:space="0" w:color="auto"/>
            <w:bottom w:val="none" w:sz="0" w:space="0" w:color="auto"/>
            <w:right w:val="none" w:sz="0" w:space="0" w:color="auto"/>
          </w:divBdr>
        </w:div>
        <w:div w:id="1271007782">
          <w:marLeft w:val="0"/>
          <w:marRight w:val="0"/>
          <w:marTop w:val="0"/>
          <w:marBottom w:val="0"/>
          <w:divBdr>
            <w:top w:val="none" w:sz="0" w:space="0" w:color="auto"/>
            <w:left w:val="none" w:sz="0" w:space="0" w:color="auto"/>
            <w:bottom w:val="none" w:sz="0" w:space="0" w:color="auto"/>
            <w:right w:val="none" w:sz="0" w:space="0" w:color="auto"/>
          </w:divBdr>
        </w:div>
        <w:div w:id="1484932049">
          <w:marLeft w:val="0"/>
          <w:marRight w:val="0"/>
          <w:marTop w:val="0"/>
          <w:marBottom w:val="0"/>
          <w:divBdr>
            <w:top w:val="none" w:sz="0" w:space="0" w:color="auto"/>
            <w:left w:val="none" w:sz="0" w:space="0" w:color="auto"/>
            <w:bottom w:val="none" w:sz="0" w:space="0" w:color="auto"/>
            <w:right w:val="none" w:sz="0" w:space="0" w:color="auto"/>
          </w:divBdr>
        </w:div>
        <w:div w:id="1300190087">
          <w:marLeft w:val="0"/>
          <w:marRight w:val="0"/>
          <w:marTop w:val="0"/>
          <w:marBottom w:val="0"/>
          <w:divBdr>
            <w:top w:val="none" w:sz="0" w:space="0" w:color="auto"/>
            <w:left w:val="none" w:sz="0" w:space="0" w:color="auto"/>
            <w:bottom w:val="none" w:sz="0" w:space="0" w:color="auto"/>
            <w:right w:val="none" w:sz="0" w:space="0" w:color="auto"/>
          </w:divBdr>
        </w:div>
        <w:div w:id="110515997">
          <w:marLeft w:val="0"/>
          <w:marRight w:val="0"/>
          <w:marTop w:val="0"/>
          <w:marBottom w:val="0"/>
          <w:divBdr>
            <w:top w:val="none" w:sz="0" w:space="0" w:color="auto"/>
            <w:left w:val="none" w:sz="0" w:space="0" w:color="auto"/>
            <w:bottom w:val="none" w:sz="0" w:space="0" w:color="auto"/>
            <w:right w:val="none" w:sz="0" w:space="0" w:color="auto"/>
          </w:divBdr>
        </w:div>
      </w:divsChild>
    </w:div>
    <w:div w:id="341972996">
      <w:bodyDiv w:val="1"/>
      <w:marLeft w:val="0"/>
      <w:marRight w:val="0"/>
      <w:marTop w:val="0"/>
      <w:marBottom w:val="0"/>
      <w:divBdr>
        <w:top w:val="none" w:sz="0" w:space="0" w:color="auto"/>
        <w:left w:val="none" w:sz="0" w:space="0" w:color="auto"/>
        <w:bottom w:val="none" w:sz="0" w:space="0" w:color="auto"/>
        <w:right w:val="none" w:sz="0" w:space="0" w:color="auto"/>
      </w:divBdr>
      <w:divsChild>
        <w:div w:id="382338308">
          <w:marLeft w:val="0"/>
          <w:marRight w:val="0"/>
          <w:marTop w:val="0"/>
          <w:marBottom w:val="0"/>
          <w:divBdr>
            <w:top w:val="none" w:sz="0" w:space="0" w:color="auto"/>
            <w:left w:val="none" w:sz="0" w:space="0" w:color="auto"/>
            <w:bottom w:val="none" w:sz="0" w:space="0" w:color="auto"/>
            <w:right w:val="none" w:sz="0" w:space="0" w:color="auto"/>
          </w:divBdr>
        </w:div>
        <w:div w:id="1720779852">
          <w:marLeft w:val="0"/>
          <w:marRight w:val="0"/>
          <w:marTop w:val="0"/>
          <w:marBottom w:val="0"/>
          <w:divBdr>
            <w:top w:val="none" w:sz="0" w:space="0" w:color="auto"/>
            <w:left w:val="none" w:sz="0" w:space="0" w:color="auto"/>
            <w:bottom w:val="none" w:sz="0" w:space="0" w:color="auto"/>
            <w:right w:val="none" w:sz="0" w:space="0" w:color="auto"/>
          </w:divBdr>
        </w:div>
        <w:div w:id="1380127913">
          <w:marLeft w:val="0"/>
          <w:marRight w:val="0"/>
          <w:marTop w:val="0"/>
          <w:marBottom w:val="0"/>
          <w:divBdr>
            <w:top w:val="none" w:sz="0" w:space="0" w:color="auto"/>
            <w:left w:val="none" w:sz="0" w:space="0" w:color="auto"/>
            <w:bottom w:val="none" w:sz="0" w:space="0" w:color="auto"/>
            <w:right w:val="none" w:sz="0" w:space="0" w:color="auto"/>
          </w:divBdr>
        </w:div>
      </w:divsChild>
    </w:div>
    <w:div w:id="523637447">
      <w:bodyDiv w:val="1"/>
      <w:marLeft w:val="0"/>
      <w:marRight w:val="0"/>
      <w:marTop w:val="0"/>
      <w:marBottom w:val="0"/>
      <w:divBdr>
        <w:top w:val="none" w:sz="0" w:space="0" w:color="auto"/>
        <w:left w:val="none" w:sz="0" w:space="0" w:color="auto"/>
        <w:bottom w:val="none" w:sz="0" w:space="0" w:color="auto"/>
        <w:right w:val="none" w:sz="0" w:space="0" w:color="auto"/>
      </w:divBdr>
    </w:div>
    <w:div w:id="1025131508">
      <w:bodyDiv w:val="1"/>
      <w:marLeft w:val="0"/>
      <w:marRight w:val="0"/>
      <w:marTop w:val="0"/>
      <w:marBottom w:val="0"/>
      <w:divBdr>
        <w:top w:val="none" w:sz="0" w:space="0" w:color="auto"/>
        <w:left w:val="none" w:sz="0" w:space="0" w:color="auto"/>
        <w:bottom w:val="none" w:sz="0" w:space="0" w:color="auto"/>
        <w:right w:val="none" w:sz="0" w:space="0" w:color="auto"/>
      </w:divBdr>
    </w:div>
    <w:div w:id="1228079122">
      <w:bodyDiv w:val="1"/>
      <w:marLeft w:val="0"/>
      <w:marRight w:val="0"/>
      <w:marTop w:val="0"/>
      <w:marBottom w:val="0"/>
      <w:divBdr>
        <w:top w:val="none" w:sz="0" w:space="0" w:color="auto"/>
        <w:left w:val="none" w:sz="0" w:space="0" w:color="auto"/>
        <w:bottom w:val="none" w:sz="0" w:space="0" w:color="auto"/>
        <w:right w:val="none" w:sz="0" w:space="0" w:color="auto"/>
      </w:divBdr>
      <w:divsChild>
        <w:div w:id="938417620">
          <w:marLeft w:val="0"/>
          <w:marRight w:val="0"/>
          <w:marTop w:val="0"/>
          <w:marBottom w:val="0"/>
          <w:divBdr>
            <w:top w:val="none" w:sz="0" w:space="0" w:color="auto"/>
            <w:left w:val="none" w:sz="0" w:space="0" w:color="auto"/>
            <w:bottom w:val="none" w:sz="0" w:space="0" w:color="auto"/>
            <w:right w:val="none" w:sz="0" w:space="0" w:color="auto"/>
          </w:divBdr>
        </w:div>
        <w:div w:id="1481578339">
          <w:marLeft w:val="0"/>
          <w:marRight w:val="0"/>
          <w:marTop w:val="0"/>
          <w:marBottom w:val="0"/>
          <w:divBdr>
            <w:top w:val="none" w:sz="0" w:space="0" w:color="auto"/>
            <w:left w:val="none" w:sz="0" w:space="0" w:color="auto"/>
            <w:bottom w:val="none" w:sz="0" w:space="0" w:color="auto"/>
            <w:right w:val="none" w:sz="0" w:space="0" w:color="auto"/>
          </w:divBdr>
        </w:div>
        <w:div w:id="843860210">
          <w:marLeft w:val="0"/>
          <w:marRight w:val="0"/>
          <w:marTop w:val="0"/>
          <w:marBottom w:val="0"/>
          <w:divBdr>
            <w:top w:val="none" w:sz="0" w:space="0" w:color="auto"/>
            <w:left w:val="none" w:sz="0" w:space="0" w:color="auto"/>
            <w:bottom w:val="none" w:sz="0" w:space="0" w:color="auto"/>
            <w:right w:val="none" w:sz="0" w:space="0" w:color="auto"/>
          </w:divBdr>
        </w:div>
        <w:div w:id="189880313">
          <w:marLeft w:val="0"/>
          <w:marRight w:val="0"/>
          <w:marTop w:val="0"/>
          <w:marBottom w:val="0"/>
          <w:divBdr>
            <w:top w:val="none" w:sz="0" w:space="0" w:color="auto"/>
            <w:left w:val="none" w:sz="0" w:space="0" w:color="auto"/>
            <w:bottom w:val="none" w:sz="0" w:space="0" w:color="auto"/>
            <w:right w:val="none" w:sz="0" w:space="0" w:color="auto"/>
          </w:divBdr>
        </w:div>
        <w:div w:id="374280290">
          <w:marLeft w:val="0"/>
          <w:marRight w:val="0"/>
          <w:marTop w:val="0"/>
          <w:marBottom w:val="0"/>
          <w:divBdr>
            <w:top w:val="none" w:sz="0" w:space="0" w:color="auto"/>
            <w:left w:val="none" w:sz="0" w:space="0" w:color="auto"/>
            <w:bottom w:val="none" w:sz="0" w:space="0" w:color="auto"/>
            <w:right w:val="none" w:sz="0" w:space="0" w:color="auto"/>
          </w:divBdr>
        </w:div>
        <w:div w:id="443039976">
          <w:marLeft w:val="0"/>
          <w:marRight w:val="0"/>
          <w:marTop w:val="0"/>
          <w:marBottom w:val="0"/>
          <w:divBdr>
            <w:top w:val="none" w:sz="0" w:space="0" w:color="auto"/>
            <w:left w:val="none" w:sz="0" w:space="0" w:color="auto"/>
            <w:bottom w:val="none" w:sz="0" w:space="0" w:color="auto"/>
            <w:right w:val="none" w:sz="0" w:space="0" w:color="auto"/>
          </w:divBdr>
        </w:div>
        <w:div w:id="684939672">
          <w:marLeft w:val="0"/>
          <w:marRight w:val="0"/>
          <w:marTop w:val="0"/>
          <w:marBottom w:val="0"/>
          <w:divBdr>
            <w:top w:val="none" w:sz="0" w:space="0" w:color="auto"/>
            <w:left w:val="none" w:sz="0" w:space="0" w:color="auto"/>
            <w:bottom w:val="none" w:sz="0" w:space="0" w:color="auto"/>
            <w:right w:val="none" w:sz="0" w:space="0" w:color="auto"/>
          </w:divBdr>
        </w:div>
        <w:div w:id="1164903574">
          <w:marLeft w:val="0"/>
          <w:marRight w:val="0"/>
          <w:marTop w:val="0"/>
          <w:marBottom w:val="0"/>
          <w:divBdr>
            <w:top w:val="none" w:sz="0" w:space="0" w:color="auto"/>
            <w:left w:val="none" w:sz="0" w:space="0" w:color="auto"/>
            <w:bottom w:val="none" w:sz="0" w:space="0" w:color="auto"/>
            <w:right w:val="none" w:sz="0" w:space="0" w:color="auto"/>
          </w:divBdr>
        </w:div>
        <w:div w:id="1963149962">
          <w:marLeft w:val="0"/>
          <w:marRight w:val="0"/>
          <w:marTop w:val="0"/>
          <w:marBottom w:val="0"/>
          <w:divBdr>
            <w:top w:val="none" w:sz="0" w:space="0" w:color="auto"/>
            <w:left w:val="none" w:sz="0" w:space="0" w:color="auto"/>
            <w:bottom w:val="none" w:sz="0" w:space="0" w:color="auto"/>
            <w:right w:val="none" w:sz="0" w:space="0" w:color="auto"/>
          </w:divBdr>
        </w:div>
        <w:div w:id="899439313">
          <w:marLeft w:val="0"/>
          <w:marRight w:val="0"/>
          <w:marTop w:val="0"/>
          <w:marBottom w:val="0"/>
          <w:divBdr>
            <w:top w:val="none" w:sz="0" w:space="0" w:color="auto"/>
            <w:left w:val="none" w:sz="0" w:space="0" w:color="auto"/>
            <w:bottom w:val="none" w:sz="0" w:space="0" w:color="auto"/>
            <w:right w:val="none" w:sz="0" w:space="0" w:color="auto"/>
          </w:divBdr>
        </w:div>
        <w:div w:id="891235925">
          <w:marLeft w:val="0"/>
          <w:marRight w:val="0"/>
          <w:marTop w:val="0"/>
          <w:marBottom w:val="0"/>
          <w:divBdr>
            <w:top w:val="none" w:sz="0" w:space="0" w:color="auto"/>
            <w:left w:val="none" w:sz="0" w:space="0" w:color="auto"/>
            <w:bottom w:val="none" w:sz="0" w:space="0" w:color="auto"/>
            <w:right w:val="none" w:sz="0" w:space="0" w:color="auto"/>
          </w:divBdr>
        </w:div>
        <w:div w:id="21323985">
          <w:marLeft w:val="0"/>
          <w:marRight w:val="0"/>
          <w:marTop w:val="0"/>
          <w:marBottom w:val="0"/>
          <w:divBdr>
            <w:top w:val="none" w:sz="0" w:space="0" w:color="auto"/>
            <w:left w:val="none" w:sz="0" w:space="0" w:color="auto"/>
            <w:bottom w:val="none" w:sz="0" w:space="0" w:color="auto"/>
            <w:right w:val="none" w:sz="0" w:space="0" w:color="auto"/>
          </w:divBdr>
        </w:div>
        <w:div w:id="1463495643">
          <w:marLeft w:val="0"/>
          <w:marRight w:val="0"/>
          <w:marTop w:val="0"/>
          <w:marBottom w:val="0"/>
          <w:divBdr>
            <w:top w:val="none" w:sz="0" w:space="0" w:color="auto"/>
            <w:left w:val="none" w:sz="0" w:space="0" w:color="auto"/>
            <w:bottom w:val="none" w:sz="0" w:space="0" w:color="auto"/>
            <w:right w:val="none" w:sz="0" w:space="0" w:color="auto"/>
          </w:divBdr>
        </w:div>
        <w:div w:id="68381527">
          <w:marLeft w:val="0"/>
          <w:marRight w:val="0"/>
          <w:marTop w:val="0"/>
          <w:marBottom w:val="0"/>
          <w:divBdr>
            <w:top w:val="none" w:sz="0" w:space="0" w:color="auto"/>
            <w:left w:val="none" w:sz="0" w:space="0" w:color="auto"/>
            <w:bottom w:val="none" w:sz="0" w:space="0" w:color="auto"/>
            <w:right w:val="none" w:sz="0" w:space="0" w:color="auto"/>
          </w:divBdr>
        </w:div>
        <w:div w:id="241834722">
          <w:marLeft w:val="0"/>
          <w:marRight w:val="0"/>
          <w:marTop w:val="0"/>
          <w:marBottom w:val="0"/>
          <w:divBdr>
            <w:top w:val="none" w:sz="0" w:space="0" w:color="auto"/>
            <w:left w:val="none" w:sz="0" w:space="0" w:color="auto"/>
            <w:bottom w:val="none" w:sz="0" w:space="0" w:color="auto"/>
            <w:right w:val="none" w:sz="0" w:space="0" w:color="auto"/>
          </w:divBdr>
        </w:div>
        <w:div w:id="1809127647">
          <w:marLeft w:val="0"/>
          <w:marRight w:val="0"/>
          <w:marTop w:val="0"/>
          <w:marBottom w:val="0"/>
          <w:divBdr>
            <w:top w:val="none" w:sz="0" w:space="0" w:color="auto"/>
            <w:left w:val="none" w:sz="0" w:space="0" w:color="auto"/>
            <w:bottom w:val="none" w:sz="0" w:space="0" w:color="auto"/>
            <w:right w:val="none" w:sz="0" w:space="0" w:color="auto"/>
          </w:divBdr>
        </w:div>
        <w:div w:id="784033566">
          <w:marLeft w:val="0"/>
          <w:marRight w:val="0"/>
          <w:marTop w:val="0"/>
          <w:marBottom w:val="0"/>
          <w:divBdr>
            <w:top w:val="none" w:sz="0" w:space="0" w:color="auto"/>
            <w:left w:val="none" w:sz="0" w:space="0" w:color="auto"/>
            <w:bottom w:val="none" w:sz="0" w:space="0" w:color="auto"/>
            <w:right w:val="none" w:sz="0" w:space="0" w:color="auto"/>
          </w:divBdr>
        </w:div>
        <w:div w:id="513306011">
          <w:marLeft w:val="0"/>
          <w:marRight w:val="0"/>
          <w:marTop w:val="0"/>
          <w:marBottom w:val="0"/>
          <w:divBdr>
            <w:top w:val="none" w:sz="0" w:space="0" w:color="auto"/>
            <w:left w:val="none" w:sz="0" w:space="0" w:color="auto"/>
            <w:bottom w:val="none" w:sz="0" w:space="0" w:color="auto"/>
            <w:right w:val="none" w:sz="0" w:space="0" w:color="auto"/>
          </w:divBdr>
        </w:div>
        <w:div w:id="201987809">
          <w:marLeft w:val="0"/>
          <w:marRight w:val="0"/>
          <w:marTop w:val="0"/>
          <w:marBottom w:val="0"/>
          <w:divBdr>
            <w:top w:val="none" w:sz="0" w:space="0" w:color="auto"/>
            <w:left w:val="none" w:sz="0" w:space="0" w:color="auto"/>
            <w:bottom w:val="none" w:sz="0" w:space="0" w:color="auto"/>
            <w:right w:val="none" w:sz="0" w:space="0" w:color="auto"/>
          </w:divBdr>
        </w:div>
      </w:divsChild>
    </w:div>
    <w:div w:id="1421372504">
      <w:bodyDiv w:val="1"/>
      <w:marLeft w:val="0"/>
      <w:marRight w:val="0"/>
      <w:marTop w:val="0"/>
      <w:marBottom w:val="0"/>
      <w:divBdr>
        <w:top w:val="none" w:sz="0" w:space="0" w:color="auto"/>
        <w:left w:val="none" w:sz="0" w:space="0" w:color="auto"/>
        <w:bottom w:val="none" w:sz="0" w:space="0" w:color="auto"/>
        <w:right w:val="none" w:sz="0" w:space="0" w:color="auto"/>
      </w:divBdr>
    </w:div>
    <w:div w:id="1984114648">
      <w:bodyDiv w:val="1"/>
      <w:marLeft w:val="0"/>
      <w:marRight w:val="0"/>
      <w:marTop w:val="0"/>
      <w:marBottom w:val="0"/>
      <w:divBdr>
        <w:top w:val="none" w:sz="0" w:space="0" w:color="auto"/>
        <w:left w:val="none" w:sz="0" w:space="0" w:color="auto"/>
        <w:bottom w:val="none" w:sz="0" w:space="0" w:color="auto"/>
        <w:right w:val="none" w:sz="0" w:space="0" w:color="auto"/>
      </w:divBdr>
      <w:divsChild>
        <w:div w:id="1098872070">
          <w:marLeft w:val="0"/>
          <w:marRight w:val="0"/>
          <w:marTop w:val="0"/>
          <w:marBottom w:val="0"/>
          <w:divBdr>
            <w:top w:val="none" w:sz="0" w:space="0" w:color="auto"/>
            <w:left w:val="none" w:sz="0" w:space="0" w:color="auto"/>
            <w:bottom w:val="none" w:sz="0" w:space="0" w:color="auto"/>
            <w:right w:val="none" w:sz="0" w:space="0" w:color="auto"/>
          </w:divBdr>
          <w:divsChild>
            <w:div w:id="967204925">
              <w:marLeft w:val="0"/>
              <w:marRight w:val="0"/>
              <w:marTop w:val="0"/>
              <w:marBottom w:val="0"/>
              <w:divBdr>
                <w:top w:val="none" w:sz="0" w:space="0" w:color="auto"/>
                <w:left w:val="none" w:sz="0" w:space="0" w:color="auto"/>
                <w:bottom w:val="none" w:sz="0" w:space="0" w:color="auto"/>
                <w:right w:val="none" w:sz="0" w:space="0" w:color="auto"/>
              </w:divBdr>
            </w:div>
            <w:div w:id="644503637">
              <w:marLeft w:val="0"/>
              <w:marRight w:val="0"/>
              <w:marTop w:val="0"/>
              <w:marBottom w:val="0"/>
              <w:divBdr>
                <w:top w:val="none" w:sz="0" w:space="0" w:color="auto"/>
                <w:left w:val="none" w:sz="0" w:space="0" w:color="auto"/>
                <w:bottom w:val="none" w:sz="0" w:space="0" w:color="auto"/>
                <w:right w:val="none" w:sz="0" w:space="0" w:color="auto"/>
              </w:divBdr>
            </w:div>
            <w:div w:id="1374960362">
              <w:marLeft w:val="0"/>
              <w:marRight w:val="0"/>
              <w:marTop w:val="0"/>
              <w:marBottom w:val="0"/>
              <w:divBdr>
                <w:top w:val="none" w:sz="0" w:space="0" w:color="auto"/>
                <w:left w:val="none" w:sz="0" w:space="0" w:color="auto"/>
                <w:bottom w:val="none" w:sz="0" w:space="0" w:color="auto"/>
                <w:right w:val="none" w:sz="0" w:space="0" w:color="auto"/>
              </w:divBdr>
            </w:div>
            <w:div w:id="724260738">
              <w:marLeft w:val="0"/>
              <w:marRight w:val="0"/>
              <w:marTop w:val="0"/>
              <w:marBottom w:val="0"/>
              <w:divBdr>
                <w:top w:val="none" w:sz="0" w:space="0" w:color="auto"/>
                <w:left w:val="none" w:sz="0" w:space="0" w:color="auto"/>
                <w:bottom w:val="none" w:sz="0" w:space="0" w:color="auto"/>
                <w:right w:val="none" w:sz="0" w:space="0" w:color="auto"/>
              </w:divBdr>
            </w:div>
            <w:div w:id="700591523">
              <w:marLeft w:val="0"/>
              <w:marRight w:val="0"/>
              <w:marTop w:val="0"/>
              <w:marBottom w:val="0"/>
              <w:divBdr>
                <w:top w:val="none" w:sz="0" w:space="0" w:color="auto"/>
                <w:left w:val="none" w:sz="0" w:space="0" w:color="auto"/>
                <w:bottom w:val="none" w:sz="0" w:space="0" w:color="auto"/>
                <w:right w:val="none" w:sz="0" w:space="0" w:color="auto"/>
              </w:divBdr>
            </w:div>
            <w:div w:id="1589458925">
              <w:marLeft w:val="0"/>
              <w:marRight w:val="0"/>
              <w:marTop w:val="0"/>
              <w:marBottom w:val="0"/>
              <w:divBdr>
                <w:top w:val="none" w:sz="0" w:space="0" w:color="auto"/>
                <w:left w:val="none" w:sz="0" w:space="0" w:color="auto"/>
                <w:bottom w:val="none" w:sz="0" w:space="0" w:color="auto"/>
                <w:right w:val="none" w:sz="0" w:space="0" w:color="auto"/>
              </w:divBdr>
            </w:div>
            <w:div w:id="86386351">
              <w:marLeft w:val="0"/>
              <w:marRight w:val="0"/>
              <w:marTop w:val="0"/>
              <w:marBottom w:val="0"/>
              <w:divBdr>
                <w:top w:val="none" w:sz="0" w:space="0" w:color="auto"/>
                <w:left w:val="none" w:sz="0" w:space="0" w:color="auto"/>
                <w:bottom w:val="none" w:sz="0" w:space="0" w:color="auto"/>
                <w:right w:val="none" w:sz="0" w:space="0" w:color="auto"/>
              </w:divBdr>
            </w:div>
            <w:div w:id="366296337">
              <w:marLeft w:val="0"/>
              <w:marRight w:val="0"/>
              <w:marTop w:val="0"/>
              <w:marBottom w:val="0"/>
              <w:divBdr>
                <w:top w:val="none" w:sz="0" w:space="0" w:color="auto"/>
                <w:left w:val="none" w:sz="0" w:space="0" w:color="auto"/>
                <w:bottom w:val="none" w:sz="0" w:space="0" w:color="auto"/>
                <w:right w:val="none" w:sz="0" w:space="0" w:color="auto"/>
              </w:divBdr>
            </w:div>
            <w:div w:id="1039668561">
              <w:marLeft w:val="0"/>
              <w:marRight w:val="0"/>
              <w:marTop w:val="0"/>
              <w:marBottom w:val="0"/>
              <w:divBdr>
                <w:top w:val="none" w:sz="0" w:space="0" w:color="auto"/>
                <w:left w:val="none" w:sz="0" w:space="0" w:color="auto"/>
                <w:bottom w:val="none" w:sz="0" w:space="0" w:color="auto"/>
                <w:right w:val="none" w:sz="0" w:space="0" w:color="auto"/>
              </w:divBdr>
            </w:div>
            <w:div w:id="1699970347">
              <w:marLeft w:val="0"/>
              <w:marRight w:val="0"/>
              <w:marTop w:val="0"/>
              <w:marBottom w:val="0"/>
              <w:divBdr>
                <w:top w:val="none" w:sz="0" w:space="0" w:color="auto"/>
                <w:left w:val="none" w:sz="0" w:space="0" w:color="auto"/>
                <w:bottom w:val="none" w:sz="0" w:space="0" w:color="auto"/>
                <w:right w:val="none" w:sz="0" w:space="0" w:color="auto"/>
              </w:divBdr>
            </w:div>
            <w:div w:id="228929483">
              <w:marLeft w:val="0"/>
              <w:marRight w:val="0"/>
              <w:marTop w:val="0"/>
              <w:marBottom w:val="0"/>
              <w:divBdr>
                <w:top w:val="none" w:sz="0" w:space="0" w:color="auto"/>
                <w:left w:val="none" w:sz="0" w:space="0" w:color="auto"/>
                <w:bottom w:val="none" w:sz="0" w:space="0" w:color="auto"/>
                <w:right w:val="none" w:sz="0" w:space="0" w:color="auto"/>
              </w:divBdr>
            </w:div>
            <w:div w:id="535234433">
              <w:marLeft w:val="0"/>
              <w:marRight w:val="0"/>
              <w:marTop w:val="0"/>
              <w:marBottom w:val="0"/>
              <w:divBdr>
                <w:top w:val="none" w:sz="0" w:space="0" w:color="auto"/>
                <w:left w:val="none" w:sz="0" w:space="0" w:color="auto"/>
                <w:bottom w:val="none" w:sz="0" w:space="0" w:color="auto"/>
                <w:right w:val="none" w:sz="0" w:space="0" w:color="auto"/>
              </w:divBdr>
            </w:div>
            <w:div w:id="2054500308">
              <w:marLeft w:val="0"/>
              <w:marRight w:val="0"/>
              <w:marTop w:val="0"/>
              <w:marBottom w:val="0"/>
              <w:divBdr>
                <w:top w:val="none" w:sz="0" w:space="0" w:color="auto"/>
                <w:left w:val="none" w:sz="0" w:space="0" w:color="auto"/>
                <w:bottom w:val="none" w:sz="0" w:space="0" w:color="auto"/>
                <w:right w:val="none" w:sz="0" w:space="0" w:color="auto"/>
              </w:divBdr>
            </w:div>
            <w:div w:id="2128348776">
              <w:marLeft w:val="0"/>
              <w:marRight w:val="0"/>
              <w:marTop w:val="0"/>
              <w:marBottom w:val="0"/>
              <w:divBdr>
                <w:top w:val="none" w:sz="0" w:space="0" w:color="auto"/>
                <w:left w:val="none" w:sz="0" w:space="0" w:color="auto"/>
                <w:bottom w:val="none" w:sz="0" w:space="0" w:color="auto"/>
                <w:right w:val="none" w:sz="0" w:space="0" w:color="auto"/>
              </w:divBdr>
            </w:div>
            <w:div w:id="1455102590">
              <w:marLeft w:val="0"/>
              <w:marRight w:val="0"/>
              <w:marTop w:val="0"/>
              <w:marBottom w:val="0"/>
              <w:divBdr>
                <w:top w:val="none" w:sz="0" w:space="0" w:color="auto"/>
                <w:left w:val="none" w:sz="0" w:space="0" w:color="auto"/>
                <w:bottom w:val="none" w:sz="0" w:space="0" w:color="auto"/>
                <w:right w:val="none" w:sz="0" w:space="0" w:color="auto"/>
              </w:divBdr>
            </w:div>
            <w:div w:id="1955674538">
              <w:marLeft w:val="0"/>
              <w:marRight w:val="0"/>
              <w:marTop w:val="0"/>
              <w:marBottom w:val="0"/>
              <w:divBdr>
                <w:top w:val="none" w:sz="0" w:space="0" w:color="auto"/>
                <w:left w:val="none" w:sz="0" w:space="0" w:color="auto"/>
                <w:bottom w:val="none" w:sz="0" w:space="0" w:color="auto"/>
                <w:right w:val="none" w:sz="0" w:space="0" w:color="auto"/>
              </w:divBdr>
            </w:div>
            <w:div w:id="1092313623">
              <w:marLeft w:val="0"/>
              <w:marRight w:val="0"/>
              <w:marTop w:val="0"/>
              <w:marBottom w:val="0"/>
              <w:divBdr>
                <w:top w:val="none" w:sz="0" w:space="0" w:color="auto"/>
                <w:left w:val="none" w:sz="0" w:space="0" w:color="auto"/>
                <w:bottom w:val="none" w:sz="0" w:space="0" w:color="auto"/>
                <w:right w:val="none" w:sz="0" w:space="0" w:color="auto"/>
              </w:divBdr>
            </w:div>
            <w:div w:id="513307810">
              <w:marLeft w:val="0"/>
              <w:marRight w:val="0"/>
              <w:marTop w:val="0"/>
              <w:marBottom w:val="0"/>
              <w:divBdr>
                <w:top w:val="none" w:sz="0" w:space="0" w:color="auto"/>
                <w:left w:val="none" w:sz="0" w:space="0" w:color="auto"/>
                <w:bottom w:val="none" w:sz="0" w:space="0" w:color="auto"/>
                <w:right w:val="none" w:sz="0" w:space="0" w:color="auto"/>
              </w:divBdr>
            </w:div>
            <w:div w:id="235671631">
              <w:marLeft w:val="0"/>
              <w:marRight w:val="0"/>
              <w:marTop w:val="0"/>
              <w:marBottom w:val="0"/>
              <w:divBdr>
                <w:top w:val="none" w:sz="0" w:space="0" w:color="auto"/>
                <w:left w:val="none" w:sz="0" w:space="0" w:color="auto"/>
                <w:bottom w:val="none" w:sz="0" w:space="0" w:color="auto"/>
                <w:right w:val="none" w:sz="0" w:space="0" w:color="auto"/>
              </w:divBdr>
            </w:div>
            <w:div w:id="821625333">
              <w:marLeft w:val="0"/>
              <w:marRight w:val="0"/>
              <w:marTop w:val="0"/>
              <w:marBottom w:val="0"/>
              <w:divBdr>
                <w:top w:val="none" w:sz="0" w:space="0" w:color="auto"/>
                <w:left w:val="none" w:sz="0" w:space="0" w:color="auto"/>
                <w:bottom w:val="none" w:sz="0" w:space="0" w:color="auto"/>
                <w:right w:val="none" w:sz="0" w:space="0" w:color="auto"/>
              </w:divBdr>
            </w:div>
            <w:div w:id="569272360">
              <w:marLeft w:val="0"/>
              <w:marRight w:val="0"/>
              <w:marTop w:val="0"/>
              <w:marBottom w:val="0"/>
              <w:divBdr>
                <w:top w:val="none" w:sz="0" w:space="0" w:color="auto"/>
                <w:left w:val="none" w:sz="0" w:space="0" w:color="auto"/>
                <w:bottom w:val="none" w:sz="0" w:space="0" w:color="auto"/>
                <w:right w:val="none" w:sz="0" w:space="0" w:color="auto"/>
              </w:divBdr>
            </w:div>
            <w:div w:id="2047949269">
              <w:marLeft w:val="0"/>
              <w:marRight w:val="0"/>
              <w:marTop w:val="0"/>
              <w:marBottom w:val="0"/>
              <w:divBdr>
                <w:top w:val="none" w:sz="0" w:space="0" w:color="auto"/>
                <w:left w:val="none" w:sz="0" w:space="0" w:color="auto"/>
                <w:bottom w:val="none" w:sz="0" w:space="0" w:color="auto"/>
                <w:right w:val="none" w:sz="0" w:space="0" w:color="auto"/>
              </w:divBdr>
            </w:div>
            <w:div w:id="943998473">
              <w:marLeft w:val="0"/>
              <w:marRight w:val="0"/>
              <w:marTop w:val="0"/>
              <w:marBottom w:val="0"/>
              <w:divBdr>
                <w:top w:val="none" w:sz="0" w:space="0" w:color="auto"/>
                <w:left w:val="none" w:sz="0" w:space="0" w:color="auto"/>
                <w:bottom w:val="none" w:sz="0" w:space="0" w:color="auto"/>
                <w:right w:val="none" w:sz="0" w:space="0" w:color="auto"/>
              </w:divBdr>
            </w:div>
            <w:div w:id="1409304376">
              <w:marLeft w:val="0"/>
              <w:marRight w:val="0"/>
              <w:marTop w:val="0"/>
              <w:marBottom w:val="0"/>
              <w:divBdr>
                <w:top w:val="none" w:sz="0" w:space="0" w:color="auto"/>
                <w:left w:val="none" w:sz="0" w:space="0" w:color="auto"/>
                <w:bottom w:val="none" w:sz="0" w:space="0" w:color="auto"/>
                <w:right w:val="none" w:sz="0" w:space="0" w:color="auto"/>
              </w:divBdr>
            </w:div>
            <w:div w:id="1604918389">
              <w:marLeft w:val="0"/>
              <w:marRight w:val="0"/>
              <w:marTop w:val="0"/>
              <w:marBottom w:val="0"/>
              <w:divBdr>
                <w:top w:val="none" w:sz="0" w:space="0" w:color="auto"/>
                <w:left w:val="none" w:sz="0" w:space="0" w:color="auto"/>
                <w:bottom w:val="none" w:sz="0" w:space="0" w:color="auto"/>
                <w:right w:val="none" w:sz="0" w:space="0" w:color="auto"/>
              </w:divBdr>
            </w:div>
            <w:div w:id="922304402">
              <w:marLeft w:val="0"/>
              <w:marRight w:val="0"/>
              <w:marTop w:val="0"/>
              <w:marBottom w:val="0"/>
              <w:divBdr>
                <w:top w:val="none" w:sz="0" w:space="0" w:color="auto"/>
                <w:left w:val="none" w:sz="0" w:space="0" w:color="auto"/>
                <w:bottom w:val="none" w:sz="0" w:space="0" w:color="auto"/>
                <w:right w:val="none" w:sz="0" w:space="0" w:color="auto"/>
              </w:divBdr>
            </w:div>
            <w:div w:id="1350177984">
              <w:marLeft w:val="0"/>
              <w:marRight w:val="0"/>
              <w:marTop w:val="0"/>
              <w:marBottom w:val="0"/>
              <w:divBdr>
                <w:top w:val="none" w:sz="0" w:space="0" w:color="auto"/>
                <w:left w:val="none" w:sz="0" w:space="0" w:color="auto"/>
                <w:bottom w:val="none" w:sz="0" w:space="0" w:color="auto"/>
                <w:right w:val="none" w:sz="0" w:space="0" w:color="auto"/>
              </w:divBdr>
            </w:div>
            <w:div w:id="333997984">
              <w:marLeft w:val="0"/>
              <w:marRight w:val="0"/>
              <w:marTop w:val="0"/>
              <w:marBottom w:val="0"/>
              <w:divBdr>
                <w:top w:val="none" w:sz="0" w:space="0" w:color="auto"/>
                <w:left w:val="none" w:sz="0" w:space="0" w:color="auto"/>
                <w:bottom w:val="none" w:sz="0" w:space="0" w:color="auto"/>
                <w:right w:val="none" w:sz="0" w:space="0" w:color="auto"/>
              </w:divBdr>
            </w:div>
            <w:div w:id="192615694">
              <w:marLeft w:val="0"/>
              <w:marRight w:val="0"/>
              <w:marTop w:val="0"/>
              <w:marBottom w:val="0"/>
              <w:divBdr>
                <w:top w:val="none" w:sz="0" w:space="0" w:color="auto"/>
                <w:left w:val="none" w:sz="0" w:space="0" w:color="auto"/>
                <w:bottom w:val="none" w:sz="0" w:space="0" w:color="auto"/>
                <w:right w:val="none" w:sz="0" w:space="0" w:color="auto"/>
              </w:divBdr>
            </w:div>
            <w:div w:id="1446389345">
              <w:marLeft w:val="0"/>
              <w:marRight w:val="0"/>
              <w:marTop w:val="0"/>
              <w:marBottom w:val="0"/>
              <w:divBdr>
                <w:top w:val="none" w:sz="0" w:space="0" w:color="auto"/>
                <w:left w:val="none" w:sz="0" w:space="0" w:color="auto"/>
                <w:bottom w:val="none" w:sz="0" w:space="0" w:color="auto"/>
                <w:right w:val="none" w:sz="0" w:space="0" w:color="auto"/>
              </w:divBdr>
            </w:div>
            <w:div w:id="2108958025">
              <w:marLeft w:val="0"/>
              <w:marRight w:val="0"/>
              <w:marTop w:val="0"/>
              <w:marBottom w:val="0"/>
              <w:divBdr>
                <w:top w:val="none" w:sz="0" w:space="0" w:color="auto"/>
                <w:left w:val="none" w:sz="0" w:space="0" w:color="auto"/>
                <w:bottom w:val="none" w:sz="0" w:space="0" w:color="auto"/>
                <w:right w:val="none" w:sz="0" w:space="0" w:color="auto"/>
              </w:divBdr>
            </w:div>
            <w:div w:id="2065372475">
              <w:marLeft w:val="0"/>
              <w:marRight w:val="0"/>
              <w:marTop w:val="0"/>
              <w:marBottom w:val="0"/>
              <w:divBdr>
                <w:top w:val="none" w:sz="0" w:space="0" w:color="auto"/>
                <w:left w:val="none" w:sz="0" w:space="0" w:color="auto"/>
                <w:bottom w:val="none" w:sz="0" w:space="0" w:color="auto"/>
                <w:right w:val="none" w:sz="0" w:space="0" w:color="auto"/>
              </w:divBdr>
            </w:div>
            <w:div w:id="333338115">
              <w:marLeft w:val="0"/>
              <w:marRight w:val="0"/>
              <w:marTop w:val="0"/>
              <w:marBottom w:val="0"/>
              <w:divBdr>
                <w:top w:val="none" w:sz="0" w:space="0" w:color="auto"/>
                <w:left w:val="none" w:sz="0" w:space="0" w:color="auto"/>
                <w:bottom w:val="none" w:sz="0" w:space="0" w:color="auto"/>
                <w:right w:val="none" w:sz="0" w:space="0" w:color="auto"/>
              </w:divBdr>
            </w:div>
            <w:div w:id="1455251419">
              <w:marLeft w:val="0"/>
              <w:marRight w:val="0"/>
              <w:marTop w:val="0"/>
              <w:marBottom w:val="0"/>
              <w:divBdr>
                <w:top w:val="none" w:sz="0" w:space="0" w:color="auto"/>
                <w:left w:val="none" w:sz="0" w:space="0" w:color="auto"/>
                <w:bottom w:val="none" w:sz="0" w:space="0" w:color="auto"/>
                <w:right w:val="none" w:sz="0" w:space="0" w:color="auto"/>
              </w:divBdr>
            </w:div>
            <w:div w:id="1802650566">
              <w:marLeft w:val="0"/>
              <w:marRight w:val="0"/>
              <w:marTop w:val="0"/>
              <w:marBottom w:val="0"/>
              <w:divBdr>
                <w:top w:val="none" w:sz="0" w:space="0" w:color="auto"/>
                <w:left w:val="none" w:sz="0" w:space="0" w:color="auto"/>
                <w:bottom w:val="none" w:sz="0" w:space="0" w:color="auto"/>
                <w:right w:val="none" w:sz="0" w:space="0" w:color="auto"/>
              </w:divBdr>
            </w:div>
            <w:div w:id="612639431">
              <w:marLeft w:val="0"/>
              <w:marRight w:val="0"/>
              <w:marTop w:val="0"/>
              <w:marBottom w:val="0"/>
              <w:divBdr>
                <w:top w:val="none" w:sz="0" w:space="0" w:color="auto"/>
                <w:left w:val="none" w:sz="0" w:space="0" w:color="auto"/>
                <w:bottom w:val="none" w:sz="0" w:space="0" w:color="auto"/>
                <w:right w:val="none" w:sz="0" w:space="0" w:color="auto"/>
              </w:divBdr>
            </w:div>
            <w:div w:id="909463774">
              <w:marLeft w:val="0"/>
              <w:marRight w:val="0"/>
              <w:marTop w:val="0"/>
              <w:marBottom w:val="0"/>
              <w:divBdr>
                <w:top w:val="none" w:sz="0" w:space="0" w:color="auto"/>
                <w:left w:val="none" w:sz="0" w:space="0" w:color="auto"/>
                <w:bottom w:val="none" w:sz="0" w:space="0" w:color="auto"/>
                <w:right w:val="none" w:sz="0" w:space="0" w:color="auto"/>
              </w:divBdr>
            </w:div>
            <w:div w:id="1918589851">
              <w:marLeft w:val="0"/>
              <w:marRight w:val="0"/>
              <w:marTop w:val="0"/>
              <w:marBottom w:val="0"/>
              <w:divBdr>
                <w:top w:val="none" w:sz="0" w:space="0" w:color="auto"/>
                <w:left w:val="none" w:sz="0" w:space="0" w:color="auto"/>
                <w:bottom w:val="none" w:sz="0" w:space="0" w:color="auto"/>
                <w:right w:val="none" w:sz="0" w:space="0" w:color="auto"/>
              </w:divBdr>
            </w:div>
            <w:div w:id="2082170766">
              <w:marLeft w:val="0"/>
              <w:marRight w:val="0"/>
              <w:marTop w:val="0"/>
              <w:marBottom w:val="0"/>
              <w:divBdr>
                <w:top w:val="none" w:sz="0" w:space="0" w:color="auto"/>
                <w:left w:val="none" w:sz="0" w:space="0" w:color="auto"/>
                <w:bottom w:val="none" w:sz="0" w:space="0" w:color="auto"/>
                <w:right w:val="none" w:sz="0" w:space="0" w:color="auto"/>
              </w:divBdr>
            </w:div>
            <w:div w:id="1570535484">
              <w:marLeft w:val="0"/>
              <w:marRight w:val="0"/>
              <w:marTop w:val="0"/>
              <w:marBottom w:val="0"/>
              <w:divBdr>
                <w:top w:val="none" w:sz="0" w:space="0" w:color="auto"/>
                <w:left w:val="none" w:sz="0" w:space="0" w:color="auto"/>
                <w:bottom w:val="none" w:sz="0" w:space="0" w:color="auto"/>
                <w:right w:val="none" w:sz="0" w:space="0" w:color="auto"/>
              </w:divBdr>
            </w:div>
            <w:div w:id="1270240037">
              <w:marLeft w:val="0"/>
              <w:marRight w:val="0"/>
              <w:marTop w:val="0"/>
              <w:marBottom w:val="0"/>
              <w:divBdr>
                <w:top w:val="none" w:sz="0" w:space="0" w:color="auto"/>
                <w:left w:val="none" w:sz="0" w:space="0" w:color="auto"/>
                <w:bottom w:val="none" w:sz="0" w:space="0" w:color="auto"/>
                <w:right w:val="none" w:sz="0" w:space="0" w:color="auto"/>
              </w:divBdr>
            </w:div>
            <w:div w:id="1557426148">
              <w:marLeft w:val="0"/>
              <w:marRight w:val="0"/>
              <w:marTop w:val="0"/>
              <w:marBottom w:val="0"/>
              <w:divBdr>
                <w:top w:val="none" w:sz="0" w:space="0" w:color="auto"/>
                <w:left w:val="none" w:sz="0" w:space="0" w:color="auto"/>
                <w:bottom w:val="none" w:sz="0" w:space="0" w:color="auto"/>
                <w:right w:val="none" w:sz="0" w:space="0" w:color="auto"/>
              </w:divBdr>
            </w:div>
            <w:div w:id="815411193">
              <w:marLeft w:val="0"/>
              <w:marRight w:val="0"/>
              <w:marTop w:val="0"/>
              <w:marBottom w:val="0"/>
              <w:divBdr>
                <w:top w:val="none" w:sz="0" w:space="0" w:color="auto"/>
                <w:left w:val="none" w:sz="0" w:space="0" w:color="auto"/>
                <w:bottom w:val="none" w:sz="0" w:space="0" w:color="auto"/>
                <w:right w:val="none" w:sz="0" w:space="0" w:color="auto"/>
              </w:divBdr>
            </w:div>
            <w:div w:id="1803889942">
              <w:marLeft w:val="0"/>
              <w:marRight w:val="0"/>
              <w:marTop w:val="0"/>
              <w:marBottom w:val="0"/>
              <w:divBdr>
                <w:top w:val="none" w:sz="0" w:space="0" w:color="auto"/>
                <w:left w:val="none" w:sz="0" w:space="0" w:color="auto"/>
                <w:bottom w:val="none" w:sz="0" w:space="0" w:color="auto"/>
                <w:right w:val="none" w:sz="0" w:space="0" w:color="auto"/>
              </w:divBdr>
            </w:div>
            <w:div w:id="887449951">
              <w:marLeft w:val="0"/>
              <w:marRight w:val="0"/>
              <w:marTop w:val="0"/>
              <w:marBottom w:val="0"/>
              <w:divBdr>
                <w:top w:val="none" w:sz="0" w:space="0" w:color="auto"/>
                <w:left w:val="none" w:sz="0" w:space="0" w:color="auto"/>
                <w:bottom w:val="none" w:sz="0" w:space="0" w:color="auto"/>
                <w:right w:val="none" w:sz="0" w:space="0" w:color="auto"/>
              </w:divBdr>
            </w:div>
            <w:div w:id="85806885">
              <w:marLeft w:val="0"/>
              <w:marRight w:val="0"/>
              <w:marTop w:val="0"/>
              <w:marBottom w:val="0"/>
              <w:divBdr>
                <w:top w:val="none" w:sz="0" w:space="0" w:color="auto"/>
                <w:left w:val="none" w:sz="0" w:space="0" w:color="auto"/>
                <w:bottom w:val="none" w:sz="0" w:space="0" w:color="auto"/>
                <w:right w:val="none" w:sz="0" w:space="0" w:color="auto"/>
              </w:divBdr>
            </w:div>
            <w:div w:id="1780685324">
              <w:marLeft w:val="0"/>
              <w:marRight w:val="0"/>
              <w:marTop w:val="0"/>
              <w:marBottom w:val="0"/>
              <w:divBdr>
                <w:top w:val="none" w:sz="0" w:space="0" w:color="auto"/>
                <w:left w:val="none" w:sz="0" w:space="0" w:color="auto"/>
                <w:bottom w:val="none" w:sz="0" w:space="0" w:color="auto"/>
                <w:right w:val="none" w:sz="0" w:space="0" w:color="auto"/>
              </w:divBdr>
            </w:div>
            <w:div w:id="1239245196">
              <w:marLeft w:val="0"/>
              <w:marRight w:val="0"/>
              <w:marTop w:val="0"/>
              <w:marBottom w:val="0"/>
              <w:divBdr>
                <w:top w:val="none" w:sz="0" w:space="0" w:color="auto"/>
                <w:left w:val="none" w:sz="0" w:space="0" w:color="auto"/>
                <w:bottom w:val="none" w:sz="0" w:space="0" w:color="auto"/>
                <w:right w:val="none" w:sz="0" w:space="0" w:color="auto"/>
              </w:divBdr>
            </w:div>
            <w:div w:id="1706325549">
              <w:marLeft w:val="0"/>
              <w:marRight w:val="0"/>
              <w:marTop w:val="0"/>
              <w:marBottom w:val="0"/>
              <w:divBdr>
                <w:top w:val="none" w:sz="0" w:space="0" w:color="auto"/>
                <w:left w:val="none" w:sz="0" w:space="0" w:color="auto"/>
                <w:bottom w:val="none" w:sz="0" w:space="0" w:color="auto"/>
                <w:right w:val="none" w:sz="0" w:space="0" w:color="auto"/>
              </w:divBdr>
            </w:div>
            <w:div w:id="1191183239">
              <w:marLeft w:val="0"/>
              <w:marRight w:val="0"/>
              <w:marTop w:val="0"/>
              <w:marBottom w:val="0"/>
              <w:divBdr>
                <w:top w:val="none" w:sz="0" w:space="0" w:color="auto"/>
                <w:left w:val="none" w:sz="0" w:space="0" w:color="auto"/>
                <w:bottom w:val="none" w:sz="0" w:space="0" w:color="auto"/>
                <w:right w:val="none" w:sz="0" w:space="0" w:color="auto"/>
              </w:divBdr>
            </w:div>
            <w:div w:id="1290815756">
              <w:marLeft w:val="0"/>
              <w:marRight w:val="0"/>
              <w:marTop w:val="0"/>
              <w:marBottom w:val="0"/>
              <w:divBdr>
                <w:top w:val="none" w:sz="0" w:space="0" w:color="auto"/>
                <w:left w:val="none" w:sz="0" w:space="0" w:color="auto"/>
                <w:bottom w:val="none" w:sz="0" w:space="0" w:color="auto"/>
                <w:right w:val="none" w:sz="0" w:space="0" w:color="auto"/>
              </w:divBdr>
            </w:div>
            <w:div w:id="2092383904">
              <w:marLeft w:val="0"/>
              <w:marRight w:val="0"/>
              <w:marTop w:val="0"/>
              <w:marBottom w:val="0"/>
              <w:divBdr>
                <w:top w:val="none" w:sz="0" w:space="0" w:color="auto"/>
                <w:left w:val="none" w:sz="0" w:space="0" w:color="auto"/>
                <w:bottom w:val="none" w:sz="0" w:space="0" w:color="auto"/>
                <w:right w:val="none" w:sz="0" w:space="0" w:color="auto"/>
              </w:divBdr>
            </w:div>
            <w:div w:id="291594143">
              <w:marLeft w:val="0"/>
              <w:marRight w:val="0"/>
              <w:marTop w:val="0"/>
              <w:marBottom w:val="0"/>
              <w:divBdr>
                <w:top w:val="none" w:sz="0" w:space="0" w:color="auto"/>
                <w:left w:val="none" w:sz="0" w:space="0" w:color="auto"/>
                <w:bottom w:val="none" w:sz="0" w:space="0" w:color="auto"/>
                <w:right w:val="none" w:sz="0" w:space="0" w:color="auto"/>
              </w:divBdr>
            </w:div>
            <w:div w:id="1757744575">
              <w:marLeft w:val="0"/>
              <w:marRight w:val="0"/>
              <w:marTop w:val="0"/>
              <w:marBottom w:val="0"/>
              <w:divBdr>
                <w:top w:val="none" w:sz="0" w:space="0" w:color="auto"/>
                <w:left w:val="none" w:sz="0" w:space="0" w:color="auto"/>
                <w:bottom w:val="none" w:sz="0" w:space="0" w:color="auto"/>
                <w:right w:val="none" w:sz="0" w:space="0" w:color="auto"/>
              </w:divBdr>
            </w:div>
            <w:div w:id="1532262811">
              <w:marLeft w:val="0"/>
              <w:marRight w:val="0"/>
              <w:marTop w:val="0"/>
              <w:marBottom w:val="0"/>
              <w:divBdr>
                <w:top w:val="none" w:sz="0" w:space="0" w:color="auto"/>
                <w:left w:val="none" w:sz="0" w:space="0" w:color="auto"/>
                <w:bottom w:val="none" w:sz="0" w:space="0" w:color="auto"/>
                <w:right w:val="none" w:sz="0" w:space="0" w:color="auto"/>
              </w:divBdr>
            </w:div>
            <w:div w:id="1498302946">
              <w:marLeft w:val="0"/>
              <w:marRight w:val="0"/>
              <w:marTop w:val="0"/>
              <w:marBottom w:val="0"/>
              <w:divBdr>
                <w:top w:val="none" w:sz="0" w:space="0" w:color="auto"/>
                <w:left w:val="none" w:sz="0" w:space="0" w:color="auto"/>
                <w:bottom w:val="none" w:sz="0" w:space="0" w:color="auto"/>
                <w:right w:val="none" w:sz="0" w:space="0" w:color="auto"/>
              </w:divBdr>
            </w:div>
            <w:div w:id="186602416">
              <w:marLeft w:val="0"/>
              <w:marRight w:val="0"/>
              <w:marTop w:val="0"/>
              <w:marBottom w:val="0"/>
              <w:divBdr>
                <w:top w:val="none" w:sz="0" w:space="0" w:color="auto"/>
                <w:left w:val="none" w:sz="0" w:space="0" w:color="auto"/>
                <w:bottom w:val="none" w:sz="0" w:space="0" w:color="auto"/>
                <w:right w:val="none" w:sz="0" w:space="0" w:color="auto"/>
              </w:divBdr>
            </w:div>
            <w:div w:id="420105076">
              <w:marLeft w:val="0"/>
              <w:marRight w:val="0"/>
              <w:marTop w:val="0"/>
              <w:marBottom w:val="0"/>
              <w:divBdr>
                <w:top w:val="none" w:sz="0" w:space="0" w:color="auto"/>
                <w:left w:val="none" w:sz="0" w:space="0" w:color="auto"/>
                <w:bottom w:val="none" w:sz="0" w:space="0" w:color="auto"/>
                <w:right w:val="none" w:sz="0" w:space="0" w:color="auto"/>
              </w:divBdr>
            </w:div>
            <w:div w:id="844905645">
              <w:marLeft w:val="0"/>
              <w:marRight w:val="0"/>
              <w:marTop w:val="0"/>
              <w:marBottom w:val="0"/>
              <w:divBdr>
                <w:top w:val="none" w:sz="0" w:space="0" w:color="auto"/>
                <w:left w:val="none" w:sz="0" w:space="0" w:color="auto"/>
                <w:bottom w:val="none" w:sz="0" w:space="0" w:color="auto"/>
                <w:right w:val="none" w:sz="0" w:space="0" w:color="auto"/>
              </w:divBdr>
            </w:div>
            <w:div w:id="12398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latinymm.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1112</Words>
  <Characters>6345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AŞCI</dc:creator>
  <cp:keywords/>
  <dc:description/>
  <cp:lastModifiedBy>Eylem AŞCI</cp:lastModifiedBy>
  <cp:revision>11</cp:revision>
  <dcterms:created xsi:type="dcterms:W3CDTF">2024-02-12T13:38:00Z</dcterms:created>
  <dcterms:modified xsi:type="dcterms:W3CDTF">2024-02-23T07:38:00Z</dcterms:modified>
</cp:coreProperties>
</file>